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41" w:rsidRPr="00EB4F4F" w:rsidRDefault="00C07094" w:rsidP="00C07094">
      <w:pPr>
        <w:pStyle w:val="Default"/>
        <w:jc w:val="both"/>
        <w:rPr>
          <w:sz w:val="21"/>
          <w:szCs w:val="21"/>
        </w:rPr>
      </w:pPr>
      <w:r w:rsidRPr="00EB4F4F">
        <w:rPr>
          <w:noProof/>
          <w:sz w:val="21"/>
          <w:szCs w:val="21"/>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3085200" cy="1440000"/>
            <wp:effectExtent l="0" t="0" r="127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5200" cy="1440000"/>
                    </a:xfrm>
                    <a:prstGeom prst="rect">
                      <a:avLst/>
                    </a:prstGeom>
                    <a:noFill/>
                    <a:ln>
                      <a:noFill/>
                    </a:ln>
                  </pic:spPr>
                </pic:pic>
              </a:graphicData>
            </a:graphic>
          </wp:anchor>
        </w:drawing>
      </w:r>
    </w:p>
    <w:p w:rsidR="005C4341" w:rsidRPr="00EB4F4F" w:rsidRDefault="005C4341" w:rsidP="00572003">
      <w:pPr>
        <w:pStyle w:val="Default"/>
        <w:ind w:left="6521"/>
        <w:jc w:val="both"/>
        <w:rPr>
          <w:sz w:val="21"/>
          <w:szCs w:val="21"/>
        </w:rPr>
      </w:pPr>
      <w:r w:rsidRPr="00EB4F4F">
        <w:rPr>
          <w:sz w:val="21"/>
          <w:szCs w:val="21"/>
        </w:rPr>
        <w:t xml:space="preserve"> </w:t>
      </w:r>
      <w:r w:rsidRPr="00EB4F4F">
        <w:rPr>
          <w:b/>
          <w:bCs/>
          <w:sz w:val="21"/>
          <w:szCs w:val="21"/>
        </w:rPr>
        <w:t xml:space="preserve">ORGANISMO PAGATORE </w:t>
      </w:r>
    </w:p>
    <w:p w:rsidR="005C4341" w:rsidRPr="00EB4F4F" w:rsidRDefault="005C4341" w:rsidP="00572003">
      <w:pPr>
        <w:pStyle w:val="Default"/>
        <w:ind w:left="6521"/>
        <w:jc w:val="both"/>
        <w:rPr>
          <w:sz w:val="21"/>
          <w:szCs w:val="21"/>
        </w:rPr>
      </w:pPr>
      <w:r w:rsidRPr="00EB4F4F">
        <w:rPr>
          <w:sz w:val="21"/>
          <w:szCs w:val="21"/>
        </w:rPr>
        <w:t xml:space="preserve">UFFICIO MONOCRATICO </w:t>
      </w:r>
    </w:p>
    <w:p w:rsidR="005C4341" w:rsidRPr="00EB4F4F" w:rsidRDefault="005C4341" w:rsidP="00572003">
      <w:pPr>
        <w:pStyle w:val="Default"/>
        <w:ind w:left="6521"/>
        <w:jc w:val="both"/>
        <w:rPr>
          <w:sz w:val="21"/>
          <w:szCs w:val="21"/>
        </w:rPr>
      </w:pPr>
      <w:r w:rsidRPr="00EB4F4F">
        <w:rPr>
          <w:sz w:val="21"/>
          <w:szCs w:val="21"/>
        </w:rPr>
        <w:t xml:space="preserve">Via Palestro, 81 – 00185 Roma </w:t>
      </w:r>
    </w:p>
    <w:p w:rsidR="005C4341" w:rsidRPr="00EB4F4F" w:rsidRDefault="005C4341" w:rsidP="00572003">
      <w:pPr>
        <w:pStyle w:val="Default"/>
        <w:ind w:left="6521"/>
        <w:jc w:val="both"/>
        <w:rPr>
          <w:sz w:val="21"/>
          <w:szCs w:val="21"/>
          <w:lang w:val="en-US"/>
        </w:rPr>
      </w:pPr>
      <w:r w:rsidRPr="00EB4F4F">
        <w:rPr>
          <w:sz w:val="21"/>
          <w:szCs w:val="21"/>
          <w:lang w:val="en-US"/>
        </w:rPr>
        <w:t xml:space="preserve">Tel. 06.49499-1 </w:t>
      </w:r>
    </w:p>
    <w:p w:rsidR="005C4341" w:rsidRPr="00EB4F4F" w:rsidRDefault="009527D5" w:rsidP="00572003">
      <w:pPr>
        <w:pStyle w:val="Default"/>
        <w:ind w:left="6521"/>
        <w:jc w:val="both"/>
        <w:rPr>
          <w:rFonts w:ascii="Times New Roman" w:hAnsi="Times New Roman" w:cs="Times New Roman"/>
          <w:i/>
          <w:iCs/>
          <w:sz w:val="21"/>
          <w:szCs w:val="21"/>
          <w:lang w:val="en-US"/>
        </w:rPr>
      </w:pPr>
      <w:hyperlink r:id="rId8" w:history="1">
        <w:r w:rsidR="00C07094" w:rsidRPr="00EB4F4F">
          <w:rPr>
            <w:rStyle w:val="Collegamentoipertestuale"/>
            <w:rFonts w:ascii="Times New Roman" w:hAnsi="Times New Roman" w:cs="Times New Roman"/>
            <w:i/>
            <w:iCs/>
            <w:sz w:val="21"/>
            <w:szCs w:val="21"/>
            <w:lang w:val="en-US"/>
          </w:rPr>
          <w:t>ufficio.monocratico@agea.gov.it</w:t>
        </w:r>
      </w:hyperlink>
      <w:r w:rsidR="005C4341" w:rsidRPr="00EB4F4F">
        <w:rPr>
          <w:rFonts w:ascii="Times New Roman" w:hAnsi="Times New Roman" w:cs="Times New Roman"/>
          <w:i/>
          <w:iCs/>
          <w:sz w:val="21"/>
          <w:szCs w:val="21"/>
          <w:lang w:val="en-US"/>
        </w:rPr>
        <w:t xml:space="preserve"> </w:t>
      </w:r>
    </w:p>
    <w:p w:rsidR="00C07094" w:rsidRPr="00EB4F4F" w:rsidRDefault="00C07094" w:rsidP="00C07094">
      <w:pPr>
        <w:pStyle w:val="Default"/>
        <w:ind w:left="6946"/>
        <w:jc w:val="both"/>
        <w:rPr>
          <w:rFonts w:ascii="Times New Roman" w:hAnsi="Times New Roman" w:cs="Times New Roman"/>
          <w:i/>
          <w:iCs/>
          <w:sz w:val="21"/>
          <w:szCs w:val="21"/>
          <w:lang w:val="en-US"/>
        </w:rPr>
      </w:pPr>
    </w:p>
    <w:p w:rsidR="00C07094" w:rsidRPr="00EB4F4F" w:rsidRDefault="00C07094" w:rsidP="00C07094">
      <w:pPr>
        <w:pStyle w:val="Default"/>
        <w:ind w:left="6946"/>
        <w:jc w:val="both"/>
        <w:rPr>
          <w:rFonts w:ascii="Times New Roman" w:hAnsi="Times New Roman" w:cs="Times New Roman"/>
          <w:i/>
          <w:iCs/>
          <w:sz w:val="21"/>
          <w:szCs w:val="21"/>
          <w:lang w:val="en-US"/>
        </w:rPr>
      </w:pPr>
    </w:p>
    <w:p w:rsidR="00C07094" w:rsidRPr="00EB4F4F" w:rsidRDefault="00C07094" w:rsidP="00C07094">
      <w:pPr>
        <w:pStyle w:val="Default"/>
        <w:ind w:left="6946"/>
        <w:jc w:val="both"/>
        <w:rPr>
          <w:rFonts w:ascii="Times New Roman" w:hAnsi="Times New Roman" w:cs="Times New Roman"/>
          <w:sz w:val="21"/>
          <w:szCs w:val="21"/>
          <w:lang w:val="en-US"/>
        </w:rPr>
      </w:pPr>
    </w:p>
    <w:p w:rsidR="005C4341" w:rsidRPr="00EB4F4F" w:rsidRDefault="005C4341" w:rsidP="00C07094">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Prot.</w:t>
      </w:r>
      <w:r w:rsidR="00FB16B9" w:rsidRPr="00EB4F4F">
        <w:rPr>
          <w:rFonts w:ascii="Times New Roman" w:hAnsi="Times New Roman" w:cs="Times New Roman"/>
          <w:b/>
          <w:bCs/>
          <w:sz w:val="21"/>
          <w:szCs w:val="21"/>
        </w:rPr>
        <w:t xml:space="preserve"> n. ORPUM. 67371 del 04.09.2017</w:t>
      </w:r>
    </w:p>
    <w:p w:rsidR="005C4341" w:rsidRPr="00EB4F4F" w:rsidRDefault="005C4341" w:rsidP="00EB4D82">
      <w:pPr>
        <w:pStyle w:val="Default"/>
        <w:jc w:val="center"/>
        <w:rPr>
          <w:rFonts w:ascii="Times New Roman" w:hAnsi="Times New Roman" w:cs="Times New Roman"/>
          <w:b/>
          <w:bCs/>
          <w:sz w:val="21"/>
          <w:szCs w:val="21"/>
        </w:rPr>
      </w:pPr>
      <w:r w:rsidRPr="00EB4F4F">
        <w:rPr>
          <w:rFonts w:ascii="Times New Roman" w:hAnsi="Times New Roman" w:cs="Times New Roman"/>
          <w:b/>
          <w:bCs/>
          <w:sz w:val="21"/>
          <w:szCs w:val="21"/>
        </w:rPr>
        <w:t>ISTRUZIONI OPERATIVE n. 38</w:t>
      </w:r>
    </w:p>
    <w:p w:rsidR="005C4341" w:rsidRPr="00EB4F4F" w:rsidRDefault="005C4341" w:rsidP="00C07094">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Oggetto: Regolamento (UE) n. 223/2014. Fondo di aiuti europei agli indigenti (FEAD). </w:t>
      </w:r>
    </w:p>
    <w:p w:rsidR="005C4341" w:rsidRPr="00EB4F4F" w:rsidRDefault="005C4341" w:rsidP="00C07094">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Programma Operativo per la fornitura di prodotti alimentari e/o assistenza materiale di base (PO I). </w:t>
      </w:r>
    </w:p>
    <w:p w:rsidR="005C4341" w:rsidRPr="00EB4F4F" w:rsidRDefault="005C4341" w:rsidP="00C07094">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Domanda di adesione al programma alimentare destinato agli indigenti. </w:t>
      </w:r>
    </w:p>
    <w:p w:rsidR="005C4341"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p w:rsidR="00DC1A56" w:rsidRPr="00EB4F4F" w:rsidRDefault="00DC1A56" w:rsidP="00C07094">
      <w:pPr>
        <w:pStyle w:val="Default"/>
        <w:jc w:val="both"/>
        <w:rPr>
          <w:rFonts w:ascii="Times New Roman" w:hAnsi="Times New Roman" w:cs="Times New Roman"/>
          <w:b/>
          <w:bCs/>
          <w:sz w:val="21"/>
          <w:szCs w:val="21"/>
        </w:rPr>
      </w:pPr>
    </w:p>
    <w:p w:rsidR="005C4341" w:rsidRPr="00EB4F4F" w:rsidRDefault="005C4341" w:rsidP="00C07094">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1. DEFINIZIONI </w:t>
      </w:r>
    </w:p>
    <w:p w:rsidR="005C4341" w:rsidRPr="00EB4F4F" w:rsidRDefault="005C4341" w:rsidP="00C07094">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Ai fini del presente documento valgono le seguenti definizioni. </w:t>
      </w:r>
    </w:p>
    <w:p w:rsidR="005C4341" w:rsidRPr="00EB4F4F" w:rsidRDefault="005C4341" w:rsidP="00C07094">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1) </w:t>
      </w:r>
      <w:r w:rsidRPr="00EB4F4F">
        <w:rPr>
          <w:rFonts w:ascii="Times New Roman" w:hAnsi="Times New Roman" w:cs="Times New Roman"/>
          <w:b/>
          <w:bCs/>
          <w:i/>
          <w:iCs/>
          <w:sz w:val="21"/>
          <w:szCs w:val="21"/>
        </w:rPr>
        <w:t xml:space="preserve">Organismi pubblici </w:t>
      </w:r>
    </w:p>
    <w:p w:rsidR="005C4341"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p w:rsidR="005C4341" w:rsidRPr="00EB4F4F" w:rsidRDefault="005C4341" w:rsidP="00C07094">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2) </w:t>
      </w:r>
      <w:r w:rsidRPr="00EB4F4F">
        <w:rPr>
          <w:rFonts w:ascii="Times New Roman" w:hAnsi="Times New Roman" w:cs="Times New Roman"/>
          <w:b/>
          <w:bCs/>
          <w:i/>
          <w:iCs/>
          <w:sz w:val="21"/>
          <w:szCs w:val="21"/>
        </w:rPr>
        <w:t xml:space="preserve">Organizzazioni senza scopo di lucro </w:t>
      </w:r>
    </w:p>
    <w:p w:rsidR="00487514"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p w:rsidR="005C4341" w:rsidRPr="00EB4F4F" w:rsidRDefault="005C4341" w:rsidP="00FB16B9">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3) </w:t>
      </w:r>
      <w:r w:rsidRPr="00EB4F4F">
        <w:rPr>
          <w:rFonts w:ascii="Times New Roman" w:hAnsi="Times New Roman" w:cs="Times New Roman"/>
          <w:b/>
          <w:bCs/>
          <w:i/>
          <w:iCs/>
          <w:color w:val="auto"/>
          <w:sz w:val="21"/>
          <w:szCs w:val="21"/>
        </w:rPr>
        <w:t xml:space="preserve">Organizzazione partner (Op) </w:t>
      </w:r>
    </w:p>
    <w:p w:rsidR="00487514"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4) </w:t>
      </w:r>
      <w:r w:rsidRPr="00EB4F4F">
        <w:rPr>
          <w:rFonts w:ascii="Times New Roman" w:hAnsi="Times New Roman" w:cs="Times New Roman"/>
          <w:b/>
          <w:bCs/>
          <w:i/>
          <w:iCs/>
          <w:color w:val="auto"/>
          <w:sz w:val="21"/>
          <w:szCs w:val="21"/>
        </w:rPr>
        <w:t xml:space="preserve">Organizzazioni partner Capofila (OpC)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Organizzazioni partner, accreditate presso AGEA, che soddisfano particolari requisiti in termini di capacità di stoccaggio, conservazione e distribuzione dei prodotti, capacità di assistenza nonché tracciabilità dei flussi, nei cui magazzini verranno depositati i prodotti alimentari da parte dei fornitori. Esse possono provvedere alla distribuzione ai destinatari finali direttamente e/o tramite la rete delle Organizzazioni partner territoriali alle quali forniscono i beni alimentari da distribuire ai destinatari finali. Per le spese amministrative, di trasporto e di magazzinaggio sostenute le Organizzazioni partner Capofila ricevono una percentuale forfettaria del 5% delle spese relative all’acquisto/al valore di prodotti alimentari depositati presso i loro magazzini e successivamente distribuiti.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5) </w:t>
      </w:r>
      <w:r w:rsidRPr="00EB4F4F">
        <w:rPr>
          <w:rFonts w:ascii="Times New Roman" w:hAnsi="Times New Roman" w:cs="Times New Roman"/>
          <w:b/>
          <w:bCs/>
          <w:i/>
          <w:iCs/>
          <w:color w:val="auto"/>
          <w:sz w:val="21"/>
          <w:szCs w:val="21"/>
        </w:rPr>
        <w:t xml:space="preserve">Organizzazioni partner Territoriali (OpT)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Organizzazioni partner che soddisfano particolari requisiti in termini di capacità di stoccaggio, conservazione e distribuzione dei prodotti nonché tracciabilità dei flussi, associate ad una Organizzazione partner Capofila, che svolgono la distribuzione ai destinatari e offrono misure di accompagnamento ovvero distribuiscono ad altre organizzazioni territoriali in qualità di Organizzazioni partner territoriali intermedie.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6) </w:t>
      </w:r>
      <w:r w:rsidRPr="00EB4F4F">
        <w:rPr>
          <w:rFonts w:ascii="Times New Roman" w:hAnsi="Times New Roman" w:cs="Times New Roman"/>
          <w:b/>
          <w:bCs/>
          <w:i/>
          <w:iCs/>
          <w:color w:val="auto"/>
          <w:sz w:val="21"/>
          <w:szCs w:val="21"/>
        </w:rPr>
        <w:t xml:space="preserve">Strutture nazionali di coordinamento delle Organizzazioni partner Capofila </w:t>
      </w:r>
    </w:p>
    <w:p w:rsidR="00487514"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7) </w:t>
      </w:r>
      <w:r w:rsidRPr="00EB4F4F">
        <w:rPr>
          <w:rFonts w:ascii="Times New Roman" w:hAnsi="Times New Roman" w:cs="Times New Roman"/>
          <w:b/>
          <w:bCs/>
          <w:i/>
          <w:iCs/>
          <w:color w:val="auto"/>
          <w:sz w:val="21"/>
          <w:szCs w:val="21"/>
        </w:rPr>
        <w:t xml:space="preserve">Misure di accompagnamento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w:t>
      </w:r>
      <w:r w:rsidRPr="00EB4F4F">
        <w:rPr>
          <w:rFonts w:ascii="Times New Roman" w:hAnsi="Times New Roman" w:cs="Times New Roman"/>
          <w:i/>
          <w:iCs/>
          <w:color w:val="auto"/>
          <w:sz w:val="21"/>
          <w:szCs w:val="21"/>
        </w:rPr>
        <w:t>Le attività svolte in aggiunta alla distribuzione di prodotti alimentari e/o alla fornitura di assistenza materiale di base al fine di alleviare l'esclusione sociale e/o di affrontare le emergenze sociali in modo più cosciente e sostenibile (…)</w:t>
      </w:r>
      <w:r w:rsidRPr="00EB4F4F">
        <w:rPr>
          <w:rFonts w:ascii="Times New Roman" w:hAnsi="Times New Roman" w:cs="Times New Roman"/>
          <w:color w:val="auto"/>
          <w:sz w:val="21"/>
          <w:szCs w:val="21"/>
        </w:rPr>
        <w:t xml:space="preserve">” ai sensi dell’art. 2, comma 11 del Regolamento (UE) n. 223/2014. Ai fini del monitoraggio e della valutazione del PO I, le misure di accompagnamento vanno indicate facendo riferimento alla classificazione di seguito riportata: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 Accoglienza e ascolto: attività di primo contatto per accogliere e valutare la domanda di aiuto/bisogno.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II. Informazione, consulenza e orientamento: attività volte a orientare e facilitare l’accesso alla rete territoriale dei servizi, informazione sulle procedure e assistenza per le pratiche amministrative.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III. Accompagnamento ai servizi: sostegno all’accesso al sistema dei servizi locale e lavoro di rete con i servizi locali.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IV. Sostegno psicologico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V. Educativa alimentare: supporto allo sviluppo di comportamenti alimentari corretti e consapevoli.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VI. Consulenza nella gestione del bilancio familiare: supporto alla pianificazione e gestione delle spese.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VII. Sostegno scolastico: sostegno a bambini e ragazzi nelle attività di studio.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lastRenderedPageBreak/>
        <w:t xml:space="preserve">VIII. Sostegno e orientamento alla ricerca di lavoro: assistenza nella compilazione di C.V. e delle domande di lavoro, preparazione ai colloqui, individuazione delle offerte di impiego, indirizzamento ai Centri per l’impiego.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IX. Prima assistenza medica: assistenza medica qualificata, distribuzione di farmaci da parte di personale specializzato, servizi ambulatoriali.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X. Tutela legale: consulenza legale per la tutela dei diritti di cittadinanza sociale.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XI. Altro: specificare.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i/>
          <w:iCs/>
          <w:color w:val="auto"/>
          <w:sz w:val="21"/>
          <w:szCs w:val="21"/>
        </w:rPr>
        <w:t xml:space="preserve">8) Assistenza continuativa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Per assistenza continuativa si deve intendere l’erogazione svolta verso persone che ricevono gli aiuti alimentari e le relative misure di accompagnamento in modo regolare nel tempo. Per i servizi di mensa si intende indicativamente una frequenza di almeno 1 volta a settimana; per la distribuzione dei pacchi alimentari l’erogazione dell’aiuto per più di sei mesi nel corso anno con periodicità almeno mensile. </w:t>
      </w:r>
    </w:p>
    <w:p w:rsidR="00DC1A56" w:rsidRPr="00EB4F4F" w:rsidRDefault="00DC1A56" w:rsidP="00965AA5">
      <w:pPr>
        <w:pStyle w:val="Default"/>
        <w:jc w:val="both"/>
        <w:rPr>
          <w:rFonts w:ascii="Times New Roman" w:hAnsi="Times New Roman" w:cs="Times New Roman"/>
          <w:b/>
          <w:bCs/>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2. ORGANIZZAZIONI PARTNER CAPOFILA RICONOSCIUTE </w:t>
      </w:r>
    </w:p>
    <w:p w:rsidR="00487514"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p w:rsidR="00DC1A56" w:rsidRPr="00EB4F4F" w:rsidRDefault="00DC1A56" w:rsidP="00965AA5">
      <w:pPr>
        <w:pStyle w:val="Default"/>
        <w:jc w:val="both"/>
        <w:rPr>
          <w:rFonts w:ascii="Times New Roman" w:hAnsi="Times New Roman" w:cs="Times New Roman"/>
          <w:b/>
          <w:bCs/>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3. TERMINI E MODALITA’ DI PRESENTAZIONE DELLA DOMANDA DI ADESIONE </w:t>
      </w:r>
    </w:p>
    <w:p w:rsidR="00487514"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p w:rsidR="00DC1A56" w:rsidRPr="00EB4F4F" w:rsidRDefault="00DC1A56" w:rsidP="00965AA5">
      <w:pPr>
        <w:pStyle w:val="Default"/>
        <w:jc w:val="both"/>
        <w:rPr>
          <w:rFonts w:ascii="Times New Roman" w:hAnsi="Times New Roman" w:cs="Times New Roman"/>
          <w:b/>
          <w:bCs/>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4. CRITERI MINIMI DI VERIFICA PER LE ORGANIZZAZIONE PARTNER CAPOFILA (OpC) E MODALITA’ DI COMPILAZIONE DELLA DOMANDA DI ADESIONE AL PROGRAMMA </w:t>
      </w:r>
    </w:p>
    <w:p w:rsidR="00487514"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p w:rsidR="00DC1A56" w:rsidRPr="00EB4F4F" w:rsidRDefault="00DC1A56" w:rsidP="00965AA5">
      <w:pPr>
        <w:pStyle w:val="Default"/>
        <w:jc w:val="both"/>
        <w:rPr>
          <w:rFonts w:ascii="Times New Roman" w:hAnsi="Times New Roman" w:cs="Times New Roman"/>
          <w:b/>
          <w:bCs/>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5. CRITERI MINIMI DI VERIFICA PER LE ORGANIZZAZIONI PARTNER TERRITORIALI (OpT) E MODALITA’ DI COMPILAZIONE DELLA DOMANDA DI AFFILIAZIONE ALLA ORGANIZZAZIONE PARTNER CAPOFILA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Le OpT, </w:t>
      </w:r>
      <w:r w:rsidRPr="00EB4F4F">
        <w:rPr>
          <w:rFonts w:ascii="Times New Roman" w:hAnsi="Times New Roman" w:cs="Times New Roman"/>
          <w:color w:val="auto"/>
          <w:sz w:val="21"/>
          <w:szCs w:val="21"/>
        </w:rPr>
        <w:t xml:space="preserve">per essere ammesse a richiedere i prodotti alimentari, devono svolgere una o più delle seguenti “attività”: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i/>
          <w:iCs/>
          <w:color w:val="auto"/>
          <w:sz w:val="21"/>
          <w:szCs w:val="21"/>
        </w:rPr>
        <w:t xml:space="preserve">1) organizzazione di servizi di mensa;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i/>
          <w:iCs/>
          <w:color w:val="auto"/>
          <w:sz w:val="21"/>
          <w:szCs w:val="21"/>
        </w:rPr>
        <w:t xml:space="preserve">2) distribuzione di pacchi;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i/>
          <w:iCs/>
          <w:color w:val="auto"/>
          <w:sz w:val="21"/>
          <w:szCs w:val="21"/>
        </w:rPr>
        <w:t xml:space="preserve">3) emporio sociale;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i/>
          <w:iCs/>
          <w:color w:val="auto"/>
          <w:sz w:val="21"/>
          <w:szCs w:val="21"/>
        </w:rPr>
        <w:t xml:space="preserve">4) distribuzione tramite unità di strada di cibi e bevande; </w:t>
      </w:r>
    </w:p>
    <w:p w:rsidR="00DC1A56" w:rsidRPr="00EB4F4F" w:rsidRDefault="005C4341" w:rsidP="00965AA5">
      <w:pPr>
        <w:pStyle w:val="Default"/>
        <w:jc w:val="both"/>
        <w:rPr>
          <w:rFonts w:ascii="Times New Roman" w:hAnsi="Times New Roman" w:cs="Times New Roman"/>
          <w:b/>
          <w:bCs/>
          <w:i/>
          <w:iCs/>
          <w:color w:val="auto"/>
          <w:sz w:val="21"/>
          <w:szCs w:val="21"/>
        </w:rPr>
      </w:pPr>
      <w:r w:rsidRPr="00EB4F4F">
        <w:rPr>
          <w:rFonts w:ascii="Times New Roman" w:hAnsi="Times New Roman" w:cs="Times New Roman"/>
          <w:b/>
          <w:bCs/>
          <w:i/>
          <w:iCs/>
          <w:color w:val="auto"/>
          <w:sz w:val="21"/>
          <w:szCs w:val="21"/>
        </w:rPr>
        <w:t xml:space="preserve">5) distribuzione domiciliare.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Si precisa che sono escluse: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1. le Strutture accreditate presso la Pubblica amministrazione (Centri di accoglienza, Case famiglia, ecc.) che percepiscono finanziamenti pubblici a copertura dei servizi rivolti all’utenza assistita o che ricevano finanziamenti parziali, qualora non sia possibile distinguere chiaramente la destinazione degli stessi;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2. le Strutture in cui vi sono assistiti che versano un corrispettivo per l’ospitalità. </w:t>
      </w:r>
    </w:p>
    <w:p w:rsidR="005C4341" w:rsidRPr="00EB4F4F" w:rsidRDefault="005C4341" w:rsidP="00965AA5">
      <w:pPr>
        <w:pStyle w:val="Default"/>
        <w:jc w:val="both"/>
        <w:rPr>
          <w:rFonts w:ascii="Times New Roman" w:hAnsi="Times New Roman" w:cs="Times New Roman"/>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Gli interventi di tali attività devono, prioritariamente, essere rivolti alle persone senza fissa dimora e alle persone e famiglie in condizione di povertà assoluta e grave deprivazione materiale, con priorità d’accesso per le persone con gravi condizioni di disagio psichico e sociale e le famiglie con minori, innanzitutto quelle numerose, in cui siano presenti persone con disabilità o famiglie in condizione di disagio abitativo.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L’assistenza può essere </w:t>
      </w:r>
      <w:r w:rsidRPr="00EB4F4F">
        <w:rPr>
          <w:rFonts w:ascii="Times New Roman" w:hAnsi="Times New Roman" w:cs="Times New Roman"/>
          <w:i/>
          <w:iCs/>
          <w:color w:val="auto"/>
          <w:sz w:val="21"/>
          <w:szCs w:val="21"/>
        </w:rPr>
        <w:t xml:space="preserve">continuativa </w:t>
      </w:r>
      <w:r w:rsidRPr="00EB4F4F">
        <w:rPr>
          <w:rFonts w:ascii="Times New Roman" w:hAnsi="Times New Roman" w:cs="Times New Roman"/>
          <w:color w:val="auto"/>
          <w:sz w:val="21"/>
          <w:szCs w:val="21"/>
        </w:rPr>
        <w:t xml:space="preserve">o </w:t>
      </w:r>
      <w:r w:rsidRPr="00EB4F4F">
        <w:rPr>
          <w:rFonts w:ascii="Times New Roman" w:hAnsi="Times New Roman" w:cs="Times New Roman"/>
          <w:i/>
          <w:iCs/>
          <w:color w:val="auto"/>
          <w:sz w:val="21"/>
          <w:szCs w:val="21"/>
        </w:rPr>
        <w:t xml:space="preserve">non continuativa: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 per </w:t>
      </w:r>
      <w:r w:rsidRPr="00EB4F4F">
        <w:rPr>
          <w:rFonts w:ascii="Times New Roman" w:hAnsi="Times New Roman" w:cs="Times New Roman"/>
          <w:i/>
          <w:iCs/>
          <w:color w:val="auto"/>
          <w:sz w:val="21"/>
          <w:szCs w:val="21"/>
        </w:rPr>
        <w:t xml:space="preserve">assistenza continuativa </w:t>
      </w:r>
      <w:r w:rsidRPr="00EB4F4F">
        <w:rPr>
          <w:rFonts w:ascii="Times New Roman" w:hAnsi="Times New Roman" w:cs="Times New Roman"/>
          <w:color w:val="auto"/>
          <w:sz w:val="21"/>
          <w:szCs w:val="21"/>
        </w:rPr>
        <w:t xml:space="preserve">si intende l’attività svolta verso persone che ricevono gli aiuti alimentari e le relative misure di accompagnamento in modo regolare nel tempo, in particolare: </w:t>
      </w:r>
    </w:p>
    <w:p w:rsidR="00FB16B9"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o per i </w:t>
      </w:r>
      <w:r w:rsidRPr="00EB4F4F">
        <w:rPr>
          <w:rFonts w:ascii="Times New Roman" w:hAnsi="Times New Roman" w:cs="Times New Roman"/>
          <w:b/>
          <w:bCs/>
          <w:color w:val="auto"/>
          <w:sz w:val="21"/>
          <w:szCs w:val="21"/>
        </w:rPr>
        <w:t xml:space="preserve">servizi di mensa, </w:t>
      </w:r>
      <w:r w:rsidRPr="00EB4F4F">
        <w:rPr>
          <w:rFonts w:ascii="Times New Roman" w:hAnsi="Times New Roman" w:cs="Times New Roman"/>
          <w:color w:val="auto"/>
          <w:sz w:val="21"/>
          <w:szCs w:val="21"/>
        </w:rPr>
        <w:t xml:space="preserve">indicativamente una frequenza di almeno 1 volta a settimana;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o per la </w:t>
      </w:r>
      <w:r w:rsidRPr="00EB4F4F">
        <w:rPr>
          <w:rFonts w:ascii="Times New Roman" w:hAnsi="Times New Roman" w:cs="Times New Roman"/>
          <w:b/>
          <w:bCs/>
          <w:color w:val="auto"/>
          <w:sz w:val="21"/>
          <w:szCs w:val="21"/>
        </w:rPr>
        <w:t xml:space="preserve">distribuzione di pacchi </w:t>
      </w:r>
      <w:r w:rsidRPr="00EB4F4F">
        <w:rPr>
          <w:rFonts w:ascii="Times New Roman" w:hAnsi="Times New Roman" w:cs="Times New Roman"/>
          <w:color w:val="auto"/>
          <w:sz w:val="21"/>
          <w:szCs w:val="21"/>
        </w:rPr>
        <w:t xml:space="preserve">alimentari, una frequenza per più di sei mesi nel corso dell’anno, con periodicità almeno mensile.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 per </w:t>
      </w:r>
      <w:r w:rsidRPr="00EB4F4F">
        <w:rPr>
          <w:rFonts w:ascii="Times New Roman" w:hAnsi="Times New Roman" w:cs="Times New Roman"/>
          <w:i/>
          <w:iCs/>
          <w:color w:val="auto"/>
          <w:sz w:val="21"/>
          <w:szCs w:val="21"/>
        </w:rPr>
        <w:t xml:space="preserve">assistenza non continuativa </w:t>
      </w:r>
      <w:r w:rsidRPr="00EB4F4F">
        <w:rPr>
          <w:rFonts w:ascii="Times New Roman" w:hAnsi="Times New Roman" w:cs="Times New Roman"/>
          <w:color w:val="auto"/>
          <w:sz w:val="21"/>
          <w:szCs w:val="21"/>
        </w:rPr>
        <w:t xml:space="preserve">si intende l’attività svolta verso persone che beneficiano delle prestazioni assistenziali in modo saltuario o </w:t>
      </w:r>
      <w:r w:rsidRPr="00EB4F4F">
        <w:rPr>
          <w:rFonts w:ascii="Times New Roman" w:hAnsi="Times New Roman" w:cs="Times New Roman"/>
          <w:i/>
          <w:iCs/>
          <w:color w:val="auto"/>
          <w:sz w:val="21"/>
          <w:szCs w:val="21"/>
        </w:rPr>
        <w:t xml:space="preserve">una tantum. </w:t>
      </w:r>
    </w:p>
    <w:p w:rsidR="005C4341" w:rsidRPr="00EB4F4F" w:rsidRDefault="005C4341" w:rsidP="00965AA5">
      <w:pPr>
        <w:pStyle w:val="Default"/>
        <w:jc w:val="both"/>
        <w:rPr>
          <w:rFonts w:ascii="Times New Roman" w:hAnsi="Times New Roman" w:cs="Times New Roman"/>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 richiedenti possono usufruire dell’assistenza continuativa previa valutazione della loro condizione economica e sociale. Tale valutazione non è, invece, necessaria per l’assistenza non continuativa. </w:t>
      </w:r>
    </w:p>
    <w:p w:rsidR="00DC1A56" w:rsidRPr="00EB4F4F" w:rsidRDefault="00DC1A56" w:rsidP="00965AA5">
      <w:pPr>
        <w:pStyle w:val="Default"/>
        <w:jc w:val="both"/>
        <w:rPr>
          <w:rFonts w:ascii="Times New Roman" w:hAnsi="Times New Roman" w:cs="Times New Roman"/>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 </w:t>
      </w:r>
      <w:r w:rsidRPr="00EB4F4F">
        <w:rPr>
          <w:rFonts w:ascii="Times New Roman" w:hAnsi="Times New Roman" w:cs="Times New Roman"/>
          <w:b/>
          <w:bCs/>
          <w:color w:val="auto"/>
          <w:sz w:val="21"/>
          <w:szCs w:val="21"/>
        </w:rPr>
        <w:t xml:space="preserve">Organizzazione di servizi mensa e distribuzione pacchi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lastRenderedPageBreak/>
        <w:t xml:space="preserve">Nella prima fase di richiesta dell’aiuto, la distribuzione di pasti e pacchi a persone e famiglie in condizione di indigenza, avverrà in ragione dell’emergenza e senza preventiva valutazione, l’erogazione continuativa degli aiuti, invece, sarà condizionata alla valutazione economica e sociale dei richiedenti.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Il numero complessivo delle persone che usufruiscono in modo non continuativo degli aiuti alimentari attraverso i </w:t>
      </w:r>
      <w:r w:rsidRPr="00EB4F4F">
        <w:rPr>
          <w:rFonts w:ascii="Times New Roman" w:hAnsi="Times New Roman" w:cs="Times New Roman"/>
          <w:b/>
          <w:bCs/>
          <w:i/>
          <w:iCs/>
          <w:color w:val="auto"/>
          <w:sz w:val="21"/>
          <w:szCs w:val="21"/>
        </w:rPr>
        <w:t xml:space="preserve">servizi mensa </w:t>
      </w:r>
      <w:r w:rsidRPr="00EB4F4F">
        <w:rPr>
          <w:rFonts w:ascii="Times New Roman" w:hAnsi="Times New Roman" w:cs="Times New Roman"/>
          <w:b/>
          <w:bCs/>
          <w:color w:val="auto"/>
          <w:sz w:val="21"/>
          <w:szCs w:val="21"/>
        </w:rPr>
        <w:t xml:space="preserve">e la </w:t>
      </w:r>
      <w:r w:rsidRPr="00EB4F4F">
        <w:rPr>
          <w:rFonts w:ascii="Times New Roman" w:hAnsi="Times New Roman" w:cs="Times New Roman"/>
          <w:b/>
          <w:bCs/>
          <w:i/>
          <w:iCs/>
          <w:color w:val="auto"/>
          <w:sz w:val="21"/>
          <w:szCs w:val="21"/>
        </w:rPr>
        <w:t xml:space="preserve">distribuzione pacchi </w:t>
      </w:r>
      <w:r w:rsidRPr="00EB4F4F">
        <w:rPr>
          <w:rFonts w:ascii="Times New Roman" w:hAnsi="Times New Roman" w:cs="Times New Roman"/>
          <w:b/>
          <w:bCs/>
          <w:color w:val="auto"/>
          <w:sz w:val="21"/>
          <w:szCs w:val="21"/>
        </w:rPr>
        <w:t xml:space="preserve">non può essere superiore al 40% del numero totale degli assistiti per ogni OpT.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L’Autorità di Gestione, su richiesta motivata dell’Organizzazione partner interessata, in considerazione delle caratteristiche del territorio servito, di particolari tipologie di utenza – in ragione ad esempio della variabilità e della discontinuità della stessa – o di altre circostanze straordinarie può autorizzare la deroga al limite stabilito, secondo quanto previsto nel Decreto Direttoriale dell’Autorità di Gestione n. 168 del 9 maggio 2017. </w:t>
      </w:r>
      <w:r w:rsidRPr="00EB4F4F">
        <w:rPr>
          <w:rFonts w:ascii="Times New Roman" w:hAnsi="Times New Roman" w:cs="Times New Roman"/>
          <w:b/>
          <w:bCs/>
          <w:color w:val="auto"/>
          <w:sz w:val="21"/>
          <w:szCs w:val="21"/>
        </w:rPr>
        <w:t>(Allegato n. 13</w:t>
      </w:r>
      <w:r w:rsidRPr="00EB4F4F">
        <w:rPr>
          <w:rFonts w:ascii="Times New Roman" w:hAnsi="Times New Roman" w:cs="Times New Roman"/>
          <w:color w:val="auto"/>
          <w:sz w:val="21"/>
          <w:szCs w:val="21"/>
        </w:rPr>
        <w:t xml:space="preserve">) </w:t>
      </w:r>
    </w:p>
    <w:p w:rsidR="00DC1A56" w:rsidRPr="00EB4F4F" w:rsidRDefault="00DC1A56" w:rsidP="00965AA5">
      <w:pPr>
        <w:pStyle w:val="Default"/>
        <w:jc w:val="both"/>
        <w:rPr>
          <w:rFonts w:ascii="Times New Roman" w:hAnsi="Times New Roman" w:cs="Times New Roman"/>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 </w:t>
      </w:r>
      <w:r w:rsidRPr="00EB4F4F">
        <w:rPr>
          <w:rFonts w:ascii="Times New Roman" w:hAnsi="Times New Roman" w:cs="Times New Roman"/>
          <w:b/>
          <w:bCs/>
          <w:color w:val="auto"/>
          <w:sz w:val="21"/>
          <w:szCs w:val="21"/>
        </w:rPr>
        <w:t xml:space="preserve">Empori sociali e Distribuzione domiciliare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L’accesso agli empori sociali e la distribuzione domiciliare sono sempre condizionati alla valutazione della condizione economica e sociale dei richiedenti. </w:t>
      </w:r>
    </w:p>
    <w:p w:rsidR="00FB16B9" w:rsidRPr="00EB4F4F" w:rsidRDefault="00FB16B9" w:rsidP="00965AA5">
      <w:pPr>
        <w:pStyle w:val="Default"/>
        <w:jc w:val="both"/>
        <w:rPr>
          <w:rFonts w:ascii="Times New Roman" w:hAnsi="Times New Roman" w:cs="Times New Roman"/>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 </w:t>
      </w:r>
      <w:r w:rsidRPr="00EB4F4F">
        <w:rPr>
          <w:rFonts w:ascii="Times New Roman" w:hAnsi="Times New Roman" w:cs="Times New Roman"/>
          <w:b/>
          <w:bCs/>
          <w:color w:val="auto"/>
          <w:sz w:val="21"/>
          <w:szCs w:val="21"/>
        </w:rPr>
        <w:t xml:space="preserve">Distribuzione tramite unità di strada di cibi e bevande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Per la distribuzione realizzata con </w:t>
      </w:r>
      <w:r w:rsidRPr="00EB4F4F">
        <w:rPr>
          <w:rFonts w:ascii="Times New Roman" w:hAnsi="Times New Roman" w:cs="Times New Roman"/>
          <w:b/>
          <w:bCs/>
          <w:color w:val="auto"/>
          <w:sz w:val="21"/>
          <w:szCs w:val="21"/>
        </w:rPr>
        <w:t xml:space="preserve">le unità di strada </w:t>
      </w:r>
      <w:r w:rsidRPr="00EB4F4F">
        <w:rPr>
          <w:rFonts w:ascii="Times New Roman" w:hAnsi="Times New Roman" w:cs="Times New Roman"/>
          <w:color w:val="auto"/>
          <w:sz w:val="21"/>
          <w:szCs w:val="21"/>
        </w:rPr>
        <w:t xml:space="preserve">a persone senza dimora o in condizione di emergenza sociale non sarà richiesta l’identificazione dei beneficiari finali. </w:t>
      </w:r>
    </w:p>
    <w:p w:rsidR="00DC1A56" w:rsidRPr="00EB4F4F" w:rsidRDefault="00DC1A56" w:rsidP="00965AA5">
      <w:pPr>
        <w:pStyle w:val="Default"/>
        <w:jc w:val="both"/>
        <w:rPr>
          <w:rFonts w:ascii="Times New Roman" w:hAnsi="Times New Roman" w:cs="Times New Roman"/>
          <w:b/>
          <w:bCs/>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A. Le OpT, ai fini della presentazione della domanda di affiliazione all’OpC, hanno l’obbligo di: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1. costituire un elenco cartaceo o informatico delle persone e dei nuclei familiari assistiti in maniera continuativa, che deve essere timbrato, datato e siglato dal responsabile dell’OpC e conservato presso la OpT stessa;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2. costituire, per ognuna delle persone o nuclei familiari assistiti in maniera continuativa, e comunque per tutti i beneficiari che accedono agli empori sociali ovvero alla distribuzione domiciliare, un </w:t>
      </w:r>
      <w:r w:rsidRPr="00EB4F4F">
        <w:rPr>
          <w:rFonts w:ascii="Times New Roman" w:hAnsi="Times New Roman" w:cs="Times New Roman"/>
          <w:b/>
          <w:bCs/>
          <w:color w:val="auto"/>
          <w:sz w:val="21"/>
          <w:szCs w:val="21"/>
        </w:rPr>
        <w:t xml:space="preserve">fascicolo </w:t>
      </w:r>
      <w:r w:rsidRPr="00EB4F4F">
        <w:rPr>
          <w:rFonts w:ascii="Times New Roman" w:hAnsi="Times New Roman" w:cs="Times New Roman"/>
          <w:color w:val="auto"/>
          <w:sz w:val="21"/>
          <w:szCs w:val="21"/>
        </w:rPr>
        <w:t xml:space="preserve">che contenga: </w:t>
      </w:r>
    </w:p>
    <w:p w:rsidR="005C4341" w:rsidRPr="00EB4F4F" w:rsidRDefault="005C4341" w:rsidP="00965AA5">
      <w:pPr>
        <w:pStyle w:val="Default"/>
        <w:jc w:val="both"/>
        <w:rPr>
          <w:rFonts w:ascii="Times New Roman" w:hAnsi="Times New Roman" w:cs="Times New Roman"/>
          <w:color w:val="auto"/>
          <w:sz w:val="21"/>
          <w:szCs w:val="21"/>
        </w:rPr>
      </w:pPr>
    </w:p>
    <w:p w:rsidR="005C4341" w:rsidRPr="00EB4F4F" w:rsidRDefault="005C4341" w:rsidP="00965AA5">
      <w:pPr>
        <w:pStyle w:val="Default"/>
        <w:jc w:val="both"/>
        <w:rPr>
          <w:color w:val="auto"/>
          <w:sz w:val="21"/>
          <w:szCs w:val="21"/>
        </w:rPr>
      </w:pPr>
      <w:r w:rsidRPr="00EB4F4F">
        <w:rPr>
          <w:rFonts w:ascii="Times New Roman" w:hAnsi="Times New Roman" w:cs="Times New Roman"/>
          <w:color w:val="auto"/>
          <w:sz w:val="21"/>
          <w:szCs w:val="21"/>
        </w:rPr>
        <w:t xml:space="preserve">I. documento dello stato di famiglia e codice fiscale </w:t>
      </w:r>
      <w:r w:rsidR="00965AA5" w:rsidRPr="00EB4F4F">
        <w:rPr>
          <w:rFonts w:ascii="Times New Roman" w:hAnsi="Times New Roman" w:cs="Times New Roman"/>
          <w:color w:val="auto"/>
          <w:sz w:val="21"/>
          <w:szCs w:val="21"/>
        </w:rPr>
        <w:t>(nel</w:t>
      </w:r>
      <w:r w:rsidRPr="00EB4F4F">
        <w:rPr>
          <w:rFonts w:ascii="Times New Roman" w:hAnsi="Times New Roman" w:cs="Times New Roman"/>
          <w:color w:val="auto"/>
          <w:sz w:val="21"/>
          <w:szCs w:val="21"/>
        </w:rPr>
        <w:t xml:space="preserve"> caso non si presenti ISEE);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II. almeno uno dei seguenti documenti comprovanti lo stato di indigenza: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a) ISEE &lt; euro 3.000;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b) documento attestante la condizione di fragilità sociale e l’opportunità degli interventi di distribuzione alimentare da parte dei servizi sociali del Comune;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c) attestazione da parte dell’OpT di accertata condizione di indigenza, redigendo un verbale di visita domiciliare, di cui si fornisce un modello </w:t>
      </w:r>
      <w:r w:rsidRPr="00EB4F4F">
        <w:rPr>
          <w:rFonts w:ascii="Times New Roman" w:hAnsi="Times New Roman" w:cs="Times New Roman"/>
          <w:b/>
          <w:bCs/>
          <w:color w:val="auto"/>
          <w:sz w:val="21"/>
          <w:szCs w:val="21"/>
        </w:rPr>
        <w:t xml:space="preserve">(Allegato 8).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L’attestazione è valida per un anno, alla scadenza del quale deve essere effettuato l’accompagnamento ai servizi sociali del Comune di residenza. </w:t>
      </w:r>
    </w:p>
    <w:p w:rsidR="00DC1A56" w:rsidRPr="00EB4F4F" w:rsidRDefault="00DC1A56" w:rsidP="00965AA5">
      <w:pPr>
        <w:pStyle w:val="Default"/>
        <w:jc w:val="both"/>
        <w:rPr>
          <w:rFonts w:ascii="Times New Roman" w:hAnsi="Times New Roman" w:cs="Times New Roman"/>
          <w:b/>
          <w:bCs/>
          <w:color w:val="auto"/>
          <w:sz w:val="21"/>
          <w:szCs w:val="21"/>
        </w:rPr>
      </w:pP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B. Le OpT, in fase di compilazione della domanda (Allegato 2), devono: </w:t>
      </w:r>
    </w:p>
    <w:p w:rsidR="005C4341" w:rsidRPr="00EB4F4F" w:rsidRDefault="005C4341" w:rsidP="00965AA5">
      <w:pPr>
        <w:pStyle w:val="Default"/>
        <w:jc w:val="both"/>
        <w:rPr>
          <w:color w:val="auto"/>
          <w:sz w:val="21"/>
          <w:szCs w:val="21"/>
        </w:rPr>
      </w:pPr>
      <w:r w:rsidRPr="00EB4F4F">
        <w:rPr>
          <w:rFonts w:ascii="Times New Roman" w:hAnsi="Times New Roman" w:cs="Times New Roman"/>
          <w:color w:val="auto"/>
          <w:sz w:val="21"/>
          <w:szCs w:val="21"/>
        </w:rPr>
        <w:t xml:space="preserve">1. Indicare la </w:t>
      </w:r>
      <w:r w:rsidRPr="00EB4F4F">
        <w:rPr>
          <w:rFonts w:ascii="Times New Roman" w:hAnsi="Times New Roman" w:cs="Times New Roman"/>
          <w:b/>
          <w:bCs/>
          <w:color w:val="auto"/>
          <w:sz w:val="21"/>
          <w:szCs w:val="21"/>
        </w:rPr>
        <w:t xml:space="preserve">sede legale </w:t>
      </w:r>
      <w:r w:rsidRPr="00EB4F4F">
        <w:rPr>
          <w:rFonts w:ascii="Times New Roman" w:hAnsi="Times New Roman" w:cs="Times New Roman"/>
          <w:color w:val="auto"/>
          <w:sz w:val="21"/>
          <w:szCs w:val="21"/>
        </w:rPr>
        <w:t xml:space="preserve">e la </w:t>
      </w:r>
      <w:r w:rsidRPr="00EB4F4F">
        <w:rPr>
          <w:rFonts w:ascii="Times New Roman" w:hAnsi="Times New Roman" w:cs="Times New Roman"/>
          <w:b/>
          <w:bCs/>
          <w:color w:val="auto"/>
          <w:sz w:val="21"/>
          <w:szCs w:val="21"/>
        </w:rPr>
        <w:t xml:space="preserve">sede operativa </w:t>
      </w:r>
      <w:r w:rsidRPr="00EB4F4F">
        <w:rPr>
          <w:rFonts w:ascii="Times New Roman" w:hAnsi="Times New Roman" w:cs="Times New Roman"/>
          <w:color w:val="auto"/>
          <w:sz w:val="21"/>
          <w:szCs w:val="21"/>
        </w:rPr>
        <w:t xml:space="preserve">se diversa dalla sede legale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(se le sedi operative sono più di una e hanno </w:t>
      </w:r>
      <w:r w:rsidRPr="00EB4F4F">
        <w:rPr>
          <w:rFonts w:ascii="Times New Roman" w:hAnsi="Times New Roman" w:cs="Times New Roman"/>
          <w:b/>
          <w:bCs/>
          <w:color w:val="auto"/>
          <w:sz w:val="21"/>
          <w:szCs w:val="21"/>
        </w:rPr>
        <w:t xml:space="preserve">indirizzi diversi </w:t>
      </w:r>
      <w:r w:rsidRPr="00EB4F4F">
        <w:rPr>
          <w:rFonts w:ascii="Times New Roman" w:hAnsi="Times New Roman" w:cs="Times New Roman"/>
          <w:color w:val="auto"/>
          <w:sz w:val="21"/>
          <w:szCs w:val="21"/>
        </w:rPr>
        <w:t xml:space="preserve">è necessario presentare una domanda per ogni sede). </w:t>
      </w:r>
    </w:p>
    <w:p w:rsidR="005C4341" w:rsidRPr="00EB4F4F" w:rsidRDefault="005C4341" w:rsidP="00965AA5">
      <w:pPr>
        <w:pStyle w:val="Default"/>
        <w:jc w:val="both"/>
        <w:rPr>
          <w:color w:val="auto"/>
          <w:sz w:val="21"/>
          <w:szCs w:val="21"/>
        </w:rPr>
      </w:pPr>
      <w:r w:rsidRPr="00EB4F4F">
        <w:rPr>
          <w:rFonts w:ascii="Times New Roman" w:hAnsi="Times New Roman" w:cs="Times New Roman"/>
          <w:color w:val="auto"/>
          <w:sz w:val="21"/>
          <w:szCs w:val="21"/>
        </w:rPr>
        <w:t xml:space="preserve">2. Indicare il numero totale degli assistiti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Gli assistiti possono essere: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a) coloro che ricevono gli aiuti con continuità;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b) coloro che ricevono gli aiuti in modo saltuario.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Riguardo al conteggio di coloro che ricevono un’assistenza continuativa si considerano gli assistiti il mese precedente la richiesta di accreditamento.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Riguardo al conteggio degli assistiti saltuari va considerato il numero medio di aiuti mensili forniti nei precedenti sei mesi (numero degli assistiti saltuari nei sei mesi diviso sei). </w:t>
      </w:r>
    </w:p>
    <w:p w:rsidR="005C4341" w:rsidRPr="00EB4F4F" w:rsidRDefault="005C4341" w:rsidP="00965AA5">
      <w:pPr>
        <w:pStyle w:val="Default"/>
        <w:jc w:val="both"/>
        <w:rPr>
          <w:rFonts w:ascii="Times New Roman" w:hAnsi="Times New Roman" w:cs="Times New Roman"/>
          <w:color w:val="auto"/>
          <w:sz w:val="21"/>
          <w:szCs w:val="21"/>
        </w:rPr>
      </w:pPr>
      <w:r w:rsidRPr="008F743C">
        <w:rPr>
          <w:rFonts w:ascii="Times New Roman" w:hAnsi="Times New Roman" w:cs="Times New Roman"/>
          <w:color w:val="auto"/>
          <w:sz w:val="21"/>
          <w:szCs w:val="21"/>
        </w:rPr>
        <w:t>3</w:t>
      </w:r>
      <w:bookmarkStart w:id="0" w:name="_GoBack"/>
      <w:bookmarkEnd w:id="0"/>
      <w:r w:rsidRPr="008F743C">
        <w:rPr>
          <w:rFonts w:ascii="Times New Roman" w:hAnsi="Times New Roman" w:cs="Times New Roman"/>
          <w:color w:val="auto"/>
          <w:sz w:val="21"/>
          <w:szCs w:val="21"/>
        </w:rPr>
        <w:t>. Indicare il numero degli assistiti suddivisi per fasce di età e per tipologie di assistiti, che fanno riferimento a</w:t>
      </w:r>
      <w:r w:rsidRPr="00EB4F4F">
        <w:rPr>
          <w:rFonts w:ascii="Times New Roman" w:hAnsi="Times New Roman" w:cs="Times New Roman"/>
          <w:color w:val="auto"/>
          <w:sz w:val="21"/>
          <w:szCs w:val="21"/>
        </w:rPr>
        <w:t xml:space="preserve"> ciascun tipo di </w:t>
      </w:r>
      <w:r w:rsidRPr="00EB4F4F">
        <w:rPr>
          <w:rFonts w:ascii="Times New Roman" w:hAnsi="Times New Roman" w:cs="Times New Roman"/>
          <w:i/>
          <w:iCs/>
          <w:color w:val="auto"/>
          <w:sz w:val="21"/>
          <w:szCs w:val="21"/>
        </w:rPr>
        <w:t>“attività”</w:t>
      </w:r>
      <w:r w:rsidRPr="00EB4F4F">
        <w:rPr>
          <w:rFonts w:ascii="Times New Roman" w:hAnsi="Times New Roman" w:cs="Times New Roman"/>
          <w:color w:val="auto"/>
          <w:sz w:val="21"/>
          <w:szCs w:val="21"/>
        </w:rPr>
        <w:t xml:space="preserve">, in particolare: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a. Numero di bambini di età uguale o inferiore a 15 anni;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b. Numero di persone di età uguale o superiore a 65 anni;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c. Numero di donne;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d. Numero di migranti, partecipanti di origine straniera, minoranze (comprese le comunità emarginate quali i Rom);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e. Numero di persone con disabilità; </w:t>
      </w:r>
    </w:p>
    <w:p w:rsidR="00FB16B9"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lastRenderedPageBreak/>
        <w:t xml:space="preserve">f. Numero di persone senza fissa dimora.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Si precisa che, nel caso in cui gli assistiti siano delle </w:t>
      </w:r>
      <w:r w:rsidRPr="00EB4F4F">
        <w:rPr>
          <w:rFonts w:ascii="Times New Roman" w:hAnsi="Times New Roman" w:cs="Times New Roman"/>
          <w:b/>
          <w:bCs/>
          <w:color w:val="auto"/>
          <w:sz w:val="21"/>
          <w:szCs w:val="21"/>
        </w:rPr>
        <w:t xml:space="preserve">famiglie, </w:t>
      </w:r>
      <w:r w:rsidRPr="00EB4F4F">
        <w:rPr>
          <w:rFonts w:ascii="Times New Roman" w:hAnsi="Times New Roman" w:cs="Times New Roman"/>
          <w:color w:val="auto"/>
          <w:sz w:val="21"/>
          <w:szCs w:val="21"/>
        </w:rPr>
        <w:t xml:space="preserve">deve essere indicato il numero totale dei componenti. </w:t>
      </w:r>
    </w:p>
    <w:p w:rsidR="005C4341" w:rsidRPr="00EB4F4F" w:rsidRDefault="005C4341" w:rsidP="00965AA5">
      <w:pPr>
        <w:pStyle w:val="Default"/>
        <w:jc w:val="both"/>
        <w:rPr>
          <w:rFonts w:ascii="Times New Roman" w:hAnsi="Times New Roman" w:cs="Times New Roman"/>
          <w:color w:val="auto"/>
          <w:sz w:val="21"/>
          <w:szCs w:val="21"/>
        </w:rPr>
      </w:pPr>
      <w:r w:rsidRPr="008F743C">
        <w:rPr>
          <w:rFonts w:ascii="Times New Roman" w:hAnsi="Times New Roman" w:cs="Times New Roman"/>
          <w:color w:val="auto"/>
          <w:sz w:val="21"/>
          <w:szCs w:val="21"/>
        </w:rPr>
        <w:t>3. Indicare quali delle seguenti “misure di accompagnamento” attua direttamente o attraverso altre</w:t>
      </w:r>
      <w:r w:rsidRPr="00EB4F4F">
        <w:rPr>
          <w:rFonts w:ascii="Times New Roman" w:hAnsi="Times New Roman" w:cs="Times New Roman"/>
          <w:color w:val="auto"/>
          <w:sz w:val="21"/>
          <w:szCs w:val="21"/>
        </w:rPr>
        <w:t xml:space="preserve"> organizzazioni partner: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 </w:t>
      </w:r>
      <w:r w:rsidRPr="00EB4F4F">
        <w:rPr>
          <w:rFonts w:ascii="Times New Roman" w:hAnsi="Times New Roman" w:cs="Times New Roman"/>
          <w:b/>
          <w:bCs/>
          <w:color w:val="auto"/>
          <w:sz w:val="21"/>
          <w:szCs w:val="21"/>
        </w:rPr>
        <w:t>Accoglienza e ascolto</w:t>
      </w:r>
      <w:r w:rsidRPr="00EB4F4F">
        <w:rPr>
          <w:rFonts w:ascii="Times New Roman" w:hAnsi="Times New Roman" w:cs="Times New Roman"/>
          <w:color w:val="auto"/>
          <w:sz w:val="21"/>
          <w:szCs w:val="21"/>
        </w:rPr>
        <w:t xml:space="preserve">: attività di primo contatto per accogliere e valutare la domanda di aiuto/bisogno.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II. </w:t>
      </w:r>
      <w:r w:rsidRPr="00EB4F4F">
        <w:rPr>
          <w:rFonts w:ascii="Times New Roman" w:hAnsi="Times New Roman" w:cs="Times New Roman"/>
          <w:b/>
          <w:bCs/>
          <w:color w:val="auto"/>
          <w:sz w:val="21"/>
          <w:szCs w:val="21"/>
        </w:rPr>
        <w:t>Informazione, consulenza e orientamento</w:t>
      </w:r>
      <w:r w:rsidRPr="00EB4F4F">
        <w:rPr>
          <w:rFonts w:ascii="Times New Roman" w:hAnsi="Times New Roman" w:cs="Times New Roman"/>
          <w:color w:val="auto"/>
          <w:sz w:val="21"/>
          <w:szCs w:val="21"/>
        </w:rPr>
        <w:t xml:space="preserve">: attività volte a orientare e facilitare l’accesso alla rete territoriale dei servizi, informazione sulle procedure e assistenza per le pratiche amministrative.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III. </w:t>
      </w:r>
      <w:r w:rsidRPr="00EB4F4F">
        <w:rPr>
          <w:rFonts w:ascii="Times New Roman" w:hAnsi="Times New Roman" w:cs="Times New Roman"/>
          <w:b/>
          <w:bCs/>
          <w:color w:val="auto"/>
          <w:sz w:val="21"/>
          <w:szCs w:val="21"/>
        </w:rPr>
        <w:t>Accompagnamento ai servizi</w:t>
      </w:r>
      <w:r w:rsidRPr="00EB4F4F">
        <w:rPr>
          <w:rFonts w:ascii="Times New Roman" w:hAnsi="Times New Roman" w:cs="Times New Roman"/>
          <w:color w:val="auto"/>
          <w:sz w:val="21"/>
          <w:szCs w:val="21"/>
        </w:rPr>
        <w:t xml:space="preserve">: sostegno all’accesso al sistema dei servizi locali e lavoro di rete con i servizi locali.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IV. </w:t>
      </w:r>
      <w:r w:rsidRPr="00EB4F4F">
        <w:rPr>
          <w:rFonts w:ascii="Times New Roman" w:hAnsi="Times New Roman" w:cs="Times New Roman"/>
          <w:b/>
          <w:bCs/>
          <w:color w:val="auto"/>
          <w:sz w:val="21"/>
          <w:szCs w:val="21"/>
        </w:rPr>
        <w:t xml:space="preserve">Sostegno psicologico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V. </w:t>
      </w:r>
      <w:r w:rsidRPr="00EB4F4F">
        <w:rPr>
          <w:rFonts w:ascii="Times New Roman" w:hAnsi="Times New Roman" w:cs="Times New Roman"/>
          <w:b/>
          <w:bCs/>
          <w:color w:val="auto"/>
          <w:sz w:val="21"/>
          <w:szCs w:val="21"/>
        </w:rPr>
        <w:t>Educativa alimentare</w:t>
      </w:r>
      <w:r w:rsidRPr="00EB4F4F">
        <w:rPr>
          <w:rFonts w:ascii="Times New Roman" w:hAnsi="Times New Roman" w:cs="Times New Roman"/>
          <w:color w:val="auto"/>
          <w:sz w:val="21"/>
          <w:szCs w:val="21"/>
        </w:rPr>
        <w:t xml:space="preserve">: supporto allo sviluppo di comportamenti alimentari corretti e consapevoli.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VI. </w:t>
      </w:r>
      <w:r w:rsidRPr="00EB4F4F">
        <w:rPr>
          <w:rFonts w:ascii="Times New Roman" w:hAnsi="Times New Roman" w:cs="Times New Roman"/>
          <w:b/>
          <w:bCs/>
          <w:color w:val="auto"/>
          <w:sz w:val="21"/>
          <w:szCs w:val="21"/>
        </w:rPr>
        <w:t>Consulenza nella gestione del bilancio familiare</w:t>
      </w:r>
      <w:r w:rsidRPr="00EB4F4F">
        <w:rPr>
          <w:rFonts w:ascii="Times New Roman" w:hAnsi="Times New Roman" w:cs="Times New Roman"/>
          <w:color w:val="auto"/>
          <w:sz w:val="21"/>
          <w:szCs w:val="21"/>
        </w:rPr>
        <w:t xml:space="preserve">: supporto alla pianificazione e gestione delle spese.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VII. </w:t>
      </w:r>
      <w:r w:rsidRPr="00EB4F4F">
        <w:rPr>
          <w:rFonts w:ascii="Times New Roman" w:hAnsi="Times New Roman" w:cs="Times New Roman"/>
          <w:b/>
          <w:bCs/>
          <w:color w:val="auto"/>
          <w:sz w:val="21"/>
          <w:szCs w:val="21"/>
        </w:rPr>
        <w:t>Sostegno scolastico</w:t>
      </w:r>
      <w:r w:rsidRPr="00EB4F4F">
        <w:rPr>
          <w:rFonts w:ascii="Times New Roman" w:hAnsi="Times New Roman" w:cs="Times New Roman"/>
          <w:color w:val="auto"/>
          <w:sz w:val="21"/>
          <w:szCs w:val="21"/>
        </w:rPr>
        <w:t xml:space="preserve">: sostegno a bambini e ragazzi nelle attività di studio.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VIII. </w:t>
      </w:r>
      <w:r w:rsidRPr="00EB4F4F">
        <w:rPr>
          <w:rFonts w:ascii="Times New Roman" w:hAnsi="Times New Roman" w:cs="Times New Roman"/>
          <w:b/>
          <w:bCs/>
          <w:color w:val="auto"/>
          <w:sz w:val="21"/>
          <w:szCs w:val="21"/>
        </w:rPr>
        <w:t>Sostegno e orientamento alla ricerca di lavoro</w:t>
      </w:r>
      <w:r w:rsidRPr="00EB4F4F">
        <w:rPr>
          <w:rFonts w:ascii="Times New Roman" w:hAnsi="Times New Roman" w:cs="Times New Roman"/>
          <w:color w:val="auto"/>
          <w:sz w:val="21"/>
          <w:szCs w:val="21"/>
        </w:rPr>
        <w:t xml:space="preserve">: assistenza nella compilazione di C.V. e delle domande di lavoro, preparazione ai colloqui, individuazione delle offerte di impiego, indirizzamento ai Centri per l’impiego.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IX. </w:t>
      </w:r>
      <w:r w:rsidRPr="00EB4F4F">
        <w:rPr>
          <w:rFonts w:ascii="Times New Roman" w:hAnsi="Times New Roman" w:cs="Times New Roman"/>
          <w:b/>
          <w:bCs/>
          <w:color w:val="auto"/>
          <w:sz w:val="21"/>
          <w:szCs w:val="21"/>
        </w:rPr>
        <w:t>Prima assistenza medica</w:t>
      </w:r>
      <w:r w:rsidRPr="00EB4F4F">
        <w:rPr>
          <w:rFonts w:ascii="Times New Roman" w:hAnsi="Times New Roman" w:cs="Times New Roman"/>
          <w:color w:val="auto"/>
          <w:sz w:val="21"/>
          <w:szCs w:val="21"/>
        </w:rPr>
        <w:t xml:space="preserve">: assistenza medica qualificata, distribuzione di farmaci da parte di personale specializzato, servizi ambulatoriali.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X. </w:t>
      </w:r>
      <w:r w:rsidRPr="00EB4F4F">
        <w:rPr>
          <w:rFonts w:ascii="Times New Roman" w:hAnsi="Times New Roman" w:cs="Times New Roman"/>
          <w:b/>
          <w:bCs/>
          <w:color w:val="auto"/>
          <w:sz w:val="21"/>
          <w:szCs w:val="21"/>
        </w:rPr>
        <w:t>Tutela legale</w:t>
      </w:r>
      <w:r w:rsidRPr="00EB4F4F">
        <w:rPr>
          <w:rFonts w:ascii="Times New Roman" w:hAnsi="Times New Roman" w:cs="Times New Roman"/>
          <w:color w:val="auto"/>
          <w:sz w:val="21"/>
          <w:szCs w:val="21"/>
        </w:rPr>
        <w:t xml:space="preserve">: consulenza legale per la tutela dei diritti di cittadinanza sociale.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XI. </w:t>
      </w:r>
      <w:r w:rsidRPr="00EB4F4F">
        <w:rPr>
          <w:rFonts w:ascii="Times New Roman" w:hAnsi="Times New Roman" w:cs="Times New Roman"/>
          <w:b/>
          <w:bCs/>
          <w:color w:val="auto"/>
          <w:sz w:val="21"/>
          <w:szCs w:val="21"/>
        </w:rPr>
        <w:t>Altro</w:t>
      </w:r>
      <w:r w:rsidRPr="00EB4F4F">
        <w:rPr>
          <w:rFonts w:ascii="Times New Roman" w:hAnsi="Times New Roman" w:cs="Times New Roman"/>
          <w:color w:val="auto"/>
          <w:sz w:val="21"/>
          <w:szCs w:val="21"/>
        </w:rPr>
        <w:t xml:space="preserve">: specificare.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Nel caso in cui le suddette “misure di accompagnamento” non vengano attuate direttamente, deve essere indicata l’Organizzazione partner attraverso la quale quest’ultime vengono attuate. </w:t>
      </w:r>
    </w:p>
    <w:p w:rsidR="005C4341" w:rsidRPr="00EB4F4F" w:rsidRDefault="005C4341" w:rsidP="00965AA5">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Alle OpT non è consentito modificare l’affiliazione dall’una all’altra OpC, durante il corso dell’esecuzione del programma di distribuzione. </w:t>
      </w:r>
    </w:p>
    <w:p w:rsidR="00DC1A56" w:rsidRPr="00EB4F4F" w:rsidRDefault="00DC1A56" w:rsidP="00C07094">
      <w:pPr>
        <w:pStyle w:val="Default"/>
        <w:jc w:val="both"/>
        <w:rPr>
          <w:rFonts w:ascii="Times New Roman" w:hAnsi="Times New Roman" w:cs="Times New Roman"/>
          <w:b/>
          <w:bCs/>
          <w:color w:val="auto"/>
          <w:sz w:val="21"/>
          <w:szCs w:val="21"/>
        </w:rPr>
      </w:pPr>
    </w:p>
    <w:p w:rsidR="005C4341" w:rsidRPr="00EB4F4F" w:rsidRDefault="005C4341" w:rsidP="00C07094">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6. CONTABILITA’ DI MAGAZZINO </w:t>
      </w:r>
    </w:p>
    <w:p w:rsidR="005C4341" w:rsidRPr="00EB4F4F" w:rsidRDefault="005C4341" w:rsidP="00C07094">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Tutti i magazzini utilizzati per la distribuzione e/o lo stoccaggio dei prodotti devono essere indicati nella domanda presentata all’AGEA. </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Ogni OpC e ogni OpT, in tutti i punti di distribuzione dei prodotti alimentari, deve affiggere un cartello il cui format grafico è riportato </w:t>
      </w:r>
      <w:r w:rsidRPr="00EB4F4F">
        <w:rPr>
          <w:rFonts w:ascii="Times New Roman" w:hAnsi="Times New Roman" w:cs="Times New Roman"/>
          <w:b/>
          <w:bCs/>
          <w:color w:val="auto"/>
          <w:sz w:val="21"/>
          <w:szCs w:val="21"/>
        </w:rPr>
        <w:t>nell’allegato 9</w:t>
      </w:r>
      <w:r w:rsidRPr="00EB4F4F">
        <w:rPr>
          <w:rFonts w:ascii="Times New Roman" w:hAnsi="Times New Roman" w:cs="Times New Roman"/>
          <w:color w:val="auto"/>
          <w:sz w:val="21"/>
          <w:szCs w:val="21"/>
        </w:rPr>
        <w:t xml:space="preserve">. Detto cartello dovrà avere dimensioni non inferiori al format stesso. </w:t>
      </w:r>
    </w:p>
    <w:p w:rsidR="00487514"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B) </w:t>
      </w:r>
      <w:r w:rsidRPr="00EB4F4F">
        <w:rPr>
          <w:rFonts w:ascii="Times New Roman" w:hAnsi="Times New Roman" w:cs="Times New Roman"/>
          <w:color w:val="auto"/>
          <w:sz w:val="21"/>
          <w:szCs w:val="21"/>
        </w:rPr>
        <w:t xml:space="preserve">Ogni </w:t>
      </w:r>
      <w:r w:rsidRPr="00EB4F4F">
        <w:rPr>
          <w:rFonts w:ascii="Times New Roman" w:hAnsi="Times New Roman" w:cs="Times New Roman"/>
          <w:b/>
          <w:bCs/>
          <w:color w:val="auto"/>
          <w:sz w:val="21"/>
          <w:szCs w:val="21"/>
        </w:rPr>
        <w:t>OpT</w:t>
      </w:r>
      <w:r w:rsidRPr="00EB4F4F">
        <w:rPr>
          <w:rFonts w:ascii="Times New Roman" w:hAnsi="Times New Roman" w:cs="Times New Roman"/>
          <w:color w:val="auto"/>
          <w:sz w:val="21"/>
          <w:szCs w:val="21"/>
        </w:rPr>
        <w:t xml:space="preserve">, ha l’obbligo di: </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1) annotare correttamente tutte le fasi di carico e scarico dei prodotti ricevuti su uno o più degli appositi </w:t>
      </w:r>
      <w:r w:rsidRPr="00EB4F4F">
        <w:rPr>
          <w:rFonts w:ascii="Times New Roman" w:hAnsi="Times New Roman" w:cs="Times New Roman"/>
          <w:b/>
          <w:bCs/>
          <w:color w:val="auto"/>
          <w:sz w:val="21"/>
          <w:szCs w:val="21"/>
        </w:rPr>
        <w:t xml:space="preserve">registri di magazzino, </w:t>
      </w:r>
      <w:r w:rsidRPr="00EB4F4F">
        <w:rPr>
          <w:rFonts w:ascii="Times New Roman" w:hAnsi="Times New Roman" w:cs="Times New Roman"/>
          <w:color w:val="auto"/>
          <w:sz w:val="21"/>
          <w:szCs w:val="21"/>
        </w:rPr>
        <w:t>conformi al modello di cui all’</w:t>
      </w:r>
      <w:r w:rsidRPr="00EB4F4F">
        <w:rPr>
          <w:rFonts w:ascii="Times New Roman" w:hAnsi="Times New Roman" w:cs="Times New Roman"/>
          <w:b/>
          <w:bCs/>
          <w:color w:val="auto"/>
          <w:sz w:val="21"/>
          <w:szCs w:val="21"/>
        </w:rPr>
        <w:t xml:space="preserve">allegato n. 3, </w:t>
      </w:r>
      <w:r w:rsidRPr="00EB4F4F">
        <w:rPr>
          <w:rFonts w:ascii="Times New Roman" w:hAnsi="Times New Roman" w:cs="Times New Roman"/>
          <w:color w:val="auto"/>
          <w:sz w:val="21"/>
          <w:szCs w:val="21"/>
        </w:rPr>
        <w:t xml:space="preserve">da numerare, timbrare e firmare in ogni loro pagina dal legale rappresentante; </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I registri devono essere costituiti da fogli inamovibili. </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2) </w:t>
      </w:r>
      <w:r w:rsidRPr="00EB4F4F">
        <w:rPr>
          <w:rFonts w:ascii="Times New Roman" w:hAnsi="Times New Roman" w:cs="Times New Roman"/>
          <w:color w:val="auto"/>
          <w:sz w:val="21"/>
          <w:szCs w:val="21"/>
        </w:rPr>
        <w:t xml:space="preserve">compilare, fatti salvi i casi di distribuzione dei prodotti sotto forma di pasti direttamente consumabili tramite mensa, l’apposita </w:t>
      </w:r>
      <w:r w:rsidRPr="00EB4F4F">
        <w:rPr>
          <w:rFonts w:ascii="Times New Roman" w:hAnsi="Times New Roman" w:cs="Times New Roman"/>
          <w:b/>
          <w:bCs/>
          <w:color w:val="auto"/>
          <w:sz w:val="21"/>
          <w:szCs w:val="21"/>
        </w:rPr>
        <w:t>dichiarazione di consegna</w:t>
      </w:r>
      <w:r w:rsidRPr="00EB4F4F">
        <w:rPr>
          <w:rFonts w:ascii="Times New Roman" w:hAnsi="Times New Roman" w:cs="Times New Roman"/>
          <w:color w:val="auto"/>
          <w:sz w:val="21"/>
          <w:szCs w:val="21"/>
        </w:rPr>
        <w:t>, corredata da una fotocopia integrale, fronte e retro, di un documento di riconoscimento in corso di validità del legale rappresentante, conforme al modello di cui all</w:t>
      </w:r>
      <w:r w:rsidRPr="00EB4F4F">
        <w:rPr>
          <w:rFonts w:ascii="Times New Roman" w:hAnsi="Times New Roman" w:cs="Times New Roman"/>
          <w:b/>
          <w:bCs/>
          <w:color w:val="auto"/>
          <w:sz w:val="21"/>
          <w:szCs w:val="21"/>
        </w:rPr>
        <w:t xml:space="preserve">’allegato n. 11; </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3) conservare agli atti la documentazione di cui ai punti 1) e 2) e renderla disponibile agli eventuali controlli dell’AGEA e/o di altro organismo competente. </w:t>
      </w:r>
    </w:p>
    <w:p w:rsidR="005C4341" w:rsidRPr="00EB4F4F" w:rsidRDefault="005C4341" w:rsidP="00487514">
      <w:pPr>
        <w:pStyle w:val="Default"/>
        <w:jc w:val="both"/>
        <w:rPr>
          <w:rFonts w:ascii="Times New Roman" w:hAnsi="Times New Roman" w:cs="Times New Roman"/>
          <w:color w:val="auto"/>
          <w:sz w:val="21"/>
          <w:szCs w:val="21"/>
        </w:rPr>
      </w:pP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C) </w:t>
      </w:r>
      <w:r w:rsidRPr="00EB4F4F">
        <w:rPr>
          <w:rFonts w:ascii="Times New Roman" w:hAnsi="Times New Roman" w:cs="Times New Roman"/>
          <w:color w:val="auto"/>
          <w:sz w:val="21"/>
          <w:szCs w:val="21"/>
        </w:rPr>
        <w:t xml:space="preserve">le </w:t>
      </w:r>
      <w:r w:rsidRPr="00EB4F4F">
        <w:rPr>
          <w:rFonts w:ascii="Times New Roman" w:hAnsi="Times New Roman" w:cs="Times New Roman"/>
          <w:b/>
          <w:bCs/>
          <w:color w:val="auto"/>
          <w:sz w:val="21"/>
          <w:szCs w:val="21"/>
        </w:rPr>
        <w:t xml:space="preserve">mense </w:t>
      </w:r>
      <w:r w:rsidRPr="00EB4F4F">
        <w:rPr>
          <w:rFonts w:ascii="Times New Roman" w:hAnsi="Times New Roman" w:cs="Times New Roman"/>
          <w:color w:val="auto"/>
          <w:sz w:val="21"/>
          <w:szCs w:val="21"/>
        </w:rPr>
        <w:t xml:space="preserve">con un numero di pasti giornalieri </w:t>
      </w:r>
      <w:r w:rsidRPr="00EB4F4F">
        <w:rPr>
          <w:rFonts w:ascii="Times New Roman" w:hAnsi="Times New Roman" w:cs="Times New Roman"/>
          <w:b/>
          <w:bCs/>
          <w:color w:val="auto"/>
          <w:sz w:val="21"/>
          <w:szCs w:val="21"/>
        </w:rPr>
        <w:t xml:space="preserve">non superiore a 100 unità </w:t>
      </w:r>
      <w:r w:rsidRPr="00EB4F4F">
        <w:rPr>
          <w:rFonts w:ascii="Times New Roman" w:hAnsi="Times New Roman" w:cs="Times New Roman"/>
          <w:color w:val="auto"/>
          <w:sz w:val="21"/>
          <w:szCs w:val="21"/>
        </w:rPr>
        <w:t xml:space="preserve">possono registrare le uscite giornalmente e/o settimanalmente. </w:t>
      </w:r>
    </w:p>
    <w:p w:rsidR="005C4341" w:rsidRPr="00EB4F4F" w:rsidRDefault="005C4341" w:rsidP="00487514">
      <w:pPr>
        <w:pStyle w:val="Default"/>
        <w:jc w:val="both"/>
        <w:rPr>
          <w:rFonts w:ascii="Times New Roman" w:hAnsi="Times New Roman" w:cs="Times New Roman"/>
          <w:color w:val="auto"/>
          <w:sz w:val="21"/>
          <w:szCs w:val="21"/>
        </w:rPr>
      </w:pP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7. CONTABILITA’ DI MAGAZZINO INFORMATIZZATA </w:t>
      </w:r>
    </w:p>
    <w:p w:rsidR="00DC1A56"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La contabilità descritta al capitolo precedente può essere tenuta, sia dalle OpC che dalle OpT, anche su supporto informatico. </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In questo caso ci si dovrà attenere alle disposizioni indicate di seguito: </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 deve essere effettuata </w:t>
      </w:r>
      <w:r w:rsidRPr="00EB4F4F">
        <w:rPr>
          <w:rFonts w:ascii="Times New Roman" w:hAnsi="Times New Roman" w:cs="Times New Roman"/>
          <w:b/>
          <w:bCs/>
          <w:color w:val="auto"/>
          <w:sz w:val="21"/>
          <w:szCs w:val="21"/>
        </w:rPr>
        <w:t xml:space="preserve">una stampa giornaliera </w:t>
      </w:r>
      <w:r w:rsidRPr="00EB4F4F">
        <w:rPr>
          <w:rFonts w:ascii="Times New Roman" w:hAnsi="Times New Roman" w:cs="Times New Roman"/>
          <w:color w:val="auto"/>
          <w:sz w:val="21"/>
          <w:szCs w:val="21"/>
        </w:rPr>
        <w:t xml:space="preserve">che comprenda tutte le operazioni avvenute nel giorno che completano una o più pagine dei registri; </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t xml:space="preserve">- le operazioni avvenute nella medesima giornata, le cui annotazioni non sarebbero sufficienti al completamento di una pagina, ferma restando l’obbligatorietà di registrazione nel sistema informatizzato, non saranno inviate in stampa al termine della giornata, ma stampate non appena il numero delle operazioni è tale da rendere possibile il completamento della pagina, e comunque </w:t>
      </w:r>
      <w:r w:rsidRPr="00EB4F4F">
        <w:rPr>
          <w:rFonts w:ascii="Times New Roman" w:hAnsi="Times New Roman" w:cs="Times New Roman"/>
          <w:b/>
          <w:bCs/>
          <w:color w:val="auto"/>
          <w:sz w:val="21"/>
          <w:szCs w:val="21"/>
        </w:rPr>
        <w:t>ogni due mesi</w:t>
      </w:r>
      <w:r w:rsidRPr="00EB4F4F">
        <w:rPr>
          <w:rFonts w:ascii="Times New Roman" w:hAnsi="Times New Roman" w:cs="Times New Roman"/>
          <w:color w:val="auto"/>
          <w:sz w:val="21"/>
          <w:szCs w:val="21"/>
        </w:rPr>
        <w:t xml:space="preserve">; </w:t>
      </w:r>
    </w:p>
    <w:p w:rsidR="005C4341" w:rsidRPr="00EB4F4F" w:rsidRDefault="005C4341" w:rsidP="00487514">
      <w:pPr>
        <w:pStyle w:val="Default"/>
        <w:jc w:val="both"/>
        <w:rPr>
          <w:rFonts w:ascii="Times New Roman" w:hAnsi="Times New Roman" w:cs="Times New Roman"/>
          <w:color w:val="auto"/>
          <w:sz w:val="21"/>
          <w:szCs w:val="21"/>
        </w:rPr>
      </w:pPr>
      <w:r w:rsidRPr="00EB4F4F">
        <w:rPr>
          <w:rFonts w:ascii="Times New Roman" w:hAnsi="Times New Roman" w:cs="Times New Roman"/>
          <w:color w:val="auto"/>
          <w:sz w:val="21"/>
          <w:szCs w:val="21"/>
        </w:rPr>
        <w:lastRenderedPageBreak/>
        <w:t xml:space="preserve">- in relazione alle operazioni memorizzate a sistema ma non ancora stampate, come sopra descritto, si precisa che, qualora l’Organizzazione partner sia soggetto ad un controllo ispettivo, dovrà, comunque, essere garantita l’immediata stampa di dette operazioni. </w:t>
      </w:r>
    </w:p>
    <w:p w:rsidR="00FB16B9" w:rsidRPr="00EB4F4F" w:rsidRDefault="00FB16B9">
      <w:pPr>
        <w:rPr>
          <w:rFonts w:ascii="Times New Roman" w:hAnsi="Times New Roman" w:cs="Times New Roman"/>
          <w:sz w:val="21"/>
          <w:szCs w:val="21"/>
        </w:rPr>
      </w:pPr>
    </w:p>
    <w:p w:rsidR="005C4341" w:rsidRPr="00EB4F4F" w:rsidRDefault="005C4341" w:rsidP="00EB4F4F">
      <w:pPr>
        <w:pStyle w:val="Default"/>
        <w:jc w:val="both"/>
        <w:rPr>
          <w:rFonts w:ascii="Times New Roman" w:hAnsi="Times New Roman" w:cs="Times New Roman"/>
          <w:color w:val="auto"/>
          <w:sz w:val="21"/>
          <w:szCs w:val="21"/>
        </w:rPr>
      </w:pPr>
      <w:r w:rsidRPr="00EB4F4F">
        <w:rPr>
          <w:rFonts w:ascii="Times New Roman" w:hAnsi="Times New Roman" w:cs="Times New Roman"/>
          <w:b/>
          <w:bCs/>
          <w:color w:val="auto"/>
          <w:sz w:val="21"/>
          <w:szCs w:val="21"/>
        </w:rPr>
        <w:t xml:space="preserve">8. REGIME DELLE PENALITA’ </w:t>
      </w:r>
      <w:r w:rsidR="00EB4F4F" w:rsidRPr="00EB4F4F">
        <w:rPr>
          <w:rFonts w:ascii="Times New Roman" w:hAnsi="Times New Roman" w:cs="Times New Roman"/>
          <w:color w:val="auto"/>
          <w:sz w:val="21"/>
          <w:szCs w:val="21"/>
        </w:rPr>
        <w:t>…OMISSIS…</w:t>
      </w: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5269"/>
        <w:gridCol w:w="3828"/>
      </w:tblGrid>
      <w:tr w:rsidR="005C4341" w:rsidRPr="00EB4F4F" w:rsidTr="00572003">
        <w:trPr>
          <w:trHeight w:val="256"/>
        </w:trPr>
        <w:tc>
          <w:tcPr>
            <w:tcW w:w="504" w:type="dxa"/>
          </w:tcPr>
          <w:p w:rsidR="005C4341" w:rsidRPr="00EB4F4F" w:rsidRDefault="005C4341" w:rsidP="00C07094">
            <w:pPr>
              <w:pStyle w:val="Default"/>
              <w:jc w:val="both"/>
              <w:rPr>
                <w:rFonts w:ascii="Times New Roman" w:hAnsi="Times New Roman" w:cs="Times New Roman"/>
                <w:sz w:val="21"/>
                <w:szCs w:val="21"/>
              </w:rPr>
            </w:pPr>
          </w:p>
        </w:tc>
        <w:tc>
          <w:tcPr>
            <w:tcW w:w="5269" w:type="dxa"/>
          </w:tcPr>
          <w:p w:rsidR="005C4341" w:rsidRPr="00EB4F4F" w:rsidRDefault="00DC1A56" w:rsidP="00C07094">
            <w:pPr>
              <w:pStyle w:val="Default"/>
              <w:jc w:val="both"/>
              <w:rPr>
                <w:sz w:val="21"/>
                <w:szCs w:val="21"/>
              </w:rPr>
            </w:pPr>
            <w:r w:rsidRPr="00EB4F4F">
              <w:rPr>
                <w:rFonts w:ascii="Times New Roman" w:hAnsi="Times New Roman" w:cs="Times New Roman"/>
                <w:b/>
                <w:bCs/>
                <w:sz w:val="21"/>
                <w:szCs w:val="21"/>
              </w:rPr>
              <w:t>ANOMALIA</w:t>
            </w:r>
          </w:p>
        </w:tc>
        <w:tc>
          <w:tcPr>
            <w:tcW w:w="3828" w:type="dxa"/>
          </w:tcPr>
          <w:p w:rsidR="005C4341" w:rsidRPr="00EB4F4F" w:rsidRDefault="00DC1A56" w:rsidP="00C07094">
            <w:pPr>
              <w:pStyle w:val="Default"/>
              <w:jc w:val="both"/>
              <w:rPr>
                <w:sz w:val="21"/>
                <w:szCs w:val="21"/>
              </w:rPr>
            </w:pPr>
            <w:r w:rsidRPr="00EB4F4F">
              <w:rPr>
                <w:rFonts w:ascii="Times New Roman" w:hAnsi="Times New Roman" w:cs="Times New Roman"/>
                <w:b/>
                <w:bCs/>
                <w:sz w:val="21"/>
                <w:szCs w:val="21"/>
              </w:rPr>
              <w:t>PENALITA’</w:t>
            </w:r>
          </w:p>
        </w:tc>
      </w:tr>
      <w:tr w:rsidR="00DC1A56" w:rsidRPr="00EB4F4F" w:rsidTr="00572003">
        <w:trPr>
          <w:trHeight w:val="385"/>
        </w:trPr>
        <w:tc>
          <w:tcPr>
            <w:tcW w:w="504"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1 </w:t>
            </w:r>
          </w:p>
        </w:tc>
        <w:tc>
          <w:tcPr>
            <w:tcW w:w="5269" w:type="dxa"/>
          </w:tcPr>
          <w:p w:rsidR="00DC1A56" w:rsidRPr="00EB4F4F" w:rsidRDefault="00DC1A56" w:rsidP="00DC1A56">
            <w:pPr>
              <w:pStyle w:val="Default"/>
              <w:jc w:val="both"/>
              <w:rPr>
                <w:sz w:val="21"/>
                <w:szCs w:val="21"/>
              </w:rPr>
            </w:pPr>
            <w:r w:rsidRPr="00EB4F4F">
              <w:rPr>
                <w:rFonts w:ascii="Times New Roman" w:hAnsi="Times New Roman" w:cs="Times New Roman"/>
                <w:b/>
                <w:bCs/>
                <w:sz w:val="21"/>
                <w:szCs w:val="21"/>
              </w:rPr>
              <w:t xml:space="preserve">assenza </w:t>
            </w:r>
            <w:r w:rsidRPr="00EB4F4F">
              <w:rPr>
                <w:rFonts w:ascii="Times New Roman" w:hAnsi="Times New Roman" w:cs="Times New Roman"/>
                <w:sz w:val="21"/>
                <w:szCs w:val="21"/>
              </w:rPr>
              <w:t xml:space="preserve">di registro di carico e scarico ovvero, in caso di contabilità informatizzata, delle previste stampe </w:t>
            </w:r>
          </w:p>
        </w:tc>
        <w:tc>
          <w:tcPr>
            <w:tcW w:w="3828" w:type="dxa"/>
          </w:tcPr>
          <w:p w:rsidR="00DC1A56" w:rsidRPr="00EB4F4F" w:rsidRDefault="00DC1A56" w:rsidP="00DC1A56">
            <w:pPr>
              <w:pStyle w:val="Default"/>
              <w:jc w:val="both"/>
              <w:rPr>
                <w:sz w:val="21"/>
                <w:szCs w:val="21"/>
              </w:rPr>
            </w:pPr>
            <w:r w:rsidRPr="00EB4F4F">
              <w:rPr>
                <w:rFonts w:ascii="Times New Roman" w:hAnsi="Times New Roman" w:cs="Times New Roman"/>
                <w:b/>
                <w:bCs/>
                <w:sz w:val="21"/>
                <w:szCs w:val="21"/>
              </w:rPr>
              <w:t xml:space="preserve">esclusione </w:t>
            </w:r>
            <w:r w:rsidRPr="00EB4F4F">
              <w:rPr>
                <w:rFonts w:ascii="Times New Roman" w:hAnsi="Times New Roman" w:cs="Times New Roman"/>
                <w:sz w:val="21"/>
                <w:szCs w:val="21"/>
              </w:rPr>
              <w:t xml:space="preserve">dalla partecipazione al programma in corso </w:t>
            </w:r>
          </w:p>
        </w:tc>
      </w:tr>
      <w:tr w:rsidR="00DC1A56" w:rsidRPr="00EB4F4F" w:rsidTr="00572003">
        <w:trPr>
          <w:trHeight w:val="247"/>
        </w:trPr>
        <w:tc>
          <w:tcPr>
            <w:tcW w:w="504"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2 </w:t>
            </w:r>
          </w:p>
        </w:tc>
        <w:tc>
          <w:tcPr>
            <w:tcW w:w="5269" w:type="dxa"/>
          </w:tcPr>
          <w:p w:rsidR="00DC1A56" w:rsidRPr="00EB4F4F" w:rsidRDefault="00DC1A56" w:rsidP="00DC1A56">
            <w:pPr>
              <w:pStyle w:val="Default"/>
              <w:jc w:val="both"/>
              <w:rPr>
                <w:sz w:val="21"/>
                <w:szCs w:val="21"/>
              </w:rPr>
            </w:pPr>
            <w:r w:rsidRPr="00EB4F4F">
              <w:rPr>
                <w:rFonts w:ascii="Times New Roman" w:hAnsi="Times New Roman" w:cs="Times New Roman"/>
                <w:b/>
                <w:bCs/>
                <w:sz w:val="21"/>
                <w:szCs w:val="21"/>
              </w:rPr>
              <w:t xml:space="preserve">assenza </w:t>
            </w:r>
            <w:r w:rsidRPr="00EB4F4F">
              <w:rPr>
                <w:rFonts w:ascii="Times New Roman" w:hAnsi="Times New Roman" w:cs="Times New Roman"/>
                <w:sz w:val="21"/>
                <w:szCs w:val="21"/>
              </w:rPr>
              <w:t xml:space="preserve">degli attestati di consegna o documentazione equivalente </w:t>
            </w:r>
          </w:p>
        </w:tc>
        <w:tc>
          <w:tcPr>
            <w:tcW w:w="3828" w:type="dxa"/>
          </w:tcPr>
          <w:p w:rsidR="00DC1A56" w:rsidRPr="00EB4F4F" w:rsidRDefault="00DC1A56" w:rsidP="00DC1A56">
            <w:pPr>
              <w:pStyle w:val="Default"/>
              <w:jc w:val="both"/>
              <w:rPr>
                <w:sz w:val="21"/>
                <w:szCs w:val="21"/>
              </w:rPr>
            </w:pPr>
            <w:r w:rsidRPr="00EB4F4F">
              <w:rPr>
                <w:rFonts w:ascii="Times New Roman" w:hAnsi="Times New Roman" w:cs="Times New Roman"/>
                <w:b/>
                <w:bCs/>
                <w:sz w:val="21"/>
                <w:szCs w:val="21"/>
              </w:rPr>
              <w:t xml:space="preserve">esclusione </w:t>
            </w:r>
            <w:r w:rsidRPr="00EB4F4F">
              <w:rPr>
                <w:rFonts w:ascii="Times New Roman" w:hAnsi="Times New Roman" w:cs="Times New Roman"/>
                <w:sz w:val="21"/>
                <w:szCs w:val="21"/>
              </w:rPr>
              <w:t xml:space="preserve">dalla partecipazione al programma in corso </w:t>
            </w:r>
          </w:p>
        </w:tc>
      </w:tr>
      <w:tr w:rsidR="00DC1A56" w:rsidRPr="00EB4F4F" w:rsidTr="00572003">
        <w:trPr>
          <w:trHeight w:val="247"/>
        </w:trPr>
        <w:tc>
          <w:tcPr>
            <w:tcW w:w="504"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3 </w:t>
            </w:r>
          </w:p>
        </w:tc>
        <w:tc>
          <w:tcPr>
            <w:tcW w:w="5269"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assenza delle dichiarazioni di consegna </w:t>
            </w:r>
          </w:p>
        </w:tc>
        <w:tc>
          <w:tcPr>
            <w:tcW w:w="3828" w:type="dxa"/>
          </w:tcPr>
          <w:p w:rsidR="00DC1A56" w:rsidRPr="00EB4F4F" w:rsidRDefault="00DC1A56" w:rsidP="00DC1A56">
            <w:pPr>
              <w:pStyle w:val="Default"/>
              <w:jc w:val="both"/>
              <w:rPr>
                <w:sz w:val="21"/>
                <w:szCs w:val="21"/>
              </w:rPr>
            </w:pPr>
            <w:r w:rsidRPr="00EB4F4F">
              <w:rPr>
                <w:rFonts w:ascii="Times New Roman" w:hAnsi="Times New Roman" w:cs="Times New Roman"/>
                <w:b/>
                <w:bCs/>
                <w:sz w:val="21"/>
                <w:szCs w:val="21"/>
              </w:rPr>
              <w:t xml:space="preserve">esclusione </w:t>
            </w:r>
            <w:r w:rsidRPr="00EB4F4F">
              <w:rPr>
                <w:rFonts w:ascii="Times New Roman" w:hAnsi="Times New Roman" w:cs="Times New Roman"/>
                <w:sz w:val="21"/>
                <w:szCs w:val="21"/>
              </w:rPr>
              <w:t xml:space="preserve">dalla partecipazione al programma in corso </w:t>
            </w:r>
          </w:p>
        </w:tc>
      </w:tr>
      <w:tr w:rsidR="00DC1A56" w:rsidRPr="00EB4F4F" w:rsidTr="00572003">
        <w:trPr>
          <w:trHeight w:val="523"/>
        </w:trPr>
        <w:tc>
          <w:tcPr>
            <w:tcW w:w="504"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4 </w:t>
            </w:r>
          </w:p>
        </w:tc>
        <w:tc>
          <w:tcPr>
            <w:tcW w:w="5269" w:type="dxa"/>
          </w:tcPr>
          <w:p w:rsidR="00DC1A56" w:rsidRPr="00EB4F4F" w:rsidRDefault="00DC1A56" w:rsidP="00DC1A56">
            <w:pPr>
              <w:pStyle w:val="Default"/>
              <w:jc w:val="both"/>
              <w:rPr>
                <w:sz w:val="21"/>
                <w:szCs w:val="21"/>
              </w:rPr>
            </w:pPr>
            <w:r w:rsidRPr="00EB4F4F">
              <w:rPr>
                <w:rFonts w:ascii="Times New Roman" w:hAnsi="Times New Roman" w:cs="Times New Roman"/>
                <w:sz w:val="21"/>
                <w:szCs w:val="21"/>
              </w:rPr>
              <w:t xml:space="preserve">tenuta dei registri </w:t>
            </w:r>
            <w:r w:rsidRPr="00EB4F4F">
              <w:rPr>
                <w:rFonts w:ascii="Times New Roman" w:hAnsi="Times New Roman" w:cs="Times New Roman"/>
                <w:b/>
                <w:bCs/>
                <w:sz w:val="21"/>
                <w:szCs w:val="21"/>
              </w:rPr>
              <w:t xml:space="preserve">non conforme, </w:t>
            </w:r>
            <w:r w:rsidRPr="00EB4F4F">
              <w:rPr>
                <w:rFonts w:ascii="Times New Roman" w:hAnsi="Times New Roman" w:cs="Times New Roman"/>
                <w:sz w:val="21"/>
                <w:szCs w:val="21"/>
              </w:rPr>
              <w:t xml:space="preserve">in quanto carenti di informazioni o recanti informazioni errate o non congruenti con le giacenze di magazzino </w:t>
            </w:r>
          </w:p>
        </w:tc>
        <w:tc>
          <w:tcPr>
            <w:tcW w:w="3828" w:type="dxa"/>
          </w:tcPr>
          <w:p w:rsidR="00DC1A56" w:rsidRPr="00EB4F4F" w:rsidRDefault="00DC1A56" w:rsidP="00DC1A56">
            <w:pPr>
              <w:pStyle w:val="Default"/>
              <w:jc w:val="both"/>
              <w:rPr>
                <w:sz w:val="21"/>
                <w:szCs w:val="21"/>
              </w:rPr>
            </w:pPr>
            <w:r w:rsidRPr="00EB4F4F">
              <w:rPr>
                <w:rFonts w:ascii="Times New Roman" w:hAnsi="Times New Roman" w:cs="Times New Roman"/>
                <w:b/>
                <w:bCs/>
                <w:sz w:val="21"/>
                <w:szCs w:val="21"/>
              </w:rPr>
              <w:t xml:space="preserve">esclusione </w:t>
            </w:r>
            <w:r w:rsidRPr="00EB4F4F">
              <w:rPr>
                <w:rFonts w:ascii="Times New Roman" w:hAnsi="Times New Roman" w:cs="Times New Roman"/>
                <w:sz w:val="21"/>
                <w:szCs w:val="21"/>
              </w:rPr>
              <w:t xml:space="preserve">dalla partecipazione al programma in corso </w:t>
            </w:r>
          </w:p>
        </w:tc>
      </w:tr>
      <w:tr w:rsidR="00DC1A56" w:rsidRPr="00EB4F4F" w:rsidTr="00572003">
        <w:trPr>
          <w:trHeight w:val="386"/>
        </w:trPr>
        <w:tc>
          <w:tcPr>
            <w:tcW w:w="504"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5 </w:t>
            </w:r>
          </w:p>
        </w:tc>
        <w:tc>
          <w:tcPr>
            <w:tcW w:w="5269" w:type="dxa"/>
          </w:tcPr>
          <w:p w:rsidR="00DC1A56" w:rsidRPr="00EB4F4F" w:rsidRDefault="00DC1A56" w:rsidP="00DC1A56">
            <w:pPr>
              <w:pStyle w:val="Default"/>
              <w:jc w:val="both"/>
              <w:rPr>
                <w:sz w:val="21"/>
                <w:szCs w:val="21"/>
              </w:rPr>
            </w:pPr>
            <w:r w:rsidRPr="00EB4F4F">
              <w:rPr>
                <w:rFonts w:ascii="Times New Roman" w:hAnsi="Times New Roman" w:cs="Times New Roman"/>
                <w:sz w:val="21"/>
                <w:szCs w:val="21"/>
              </w:rPr>
              <w:t xml:space="preserve">tenuta dei registri con le pagine </w:t>
            </w:r>
            <w:r w:rsidRPr="00EB4F4F">
              <w:rPr>
                <w:rFonts w:ascii="Times New Roman" w:hAnsi="Times New Roman" w:cs="Times New Roman"/>
                <w:b/>
                <w:bCs/>
                <w:sz w:val="21"/>
                <w:szCs w:val="21"/>
              </w:rPr>
              <w:t xml:space="preserve">prive </w:t>
            </w:r>
            <w:r w:rsidRPr="00EB4F4F">
              <w:rPr>
                <w:rFonts w:ascii="Times New Roman" w:hAnsi="Times New Roman" w:cs="Times New Roman"/>
                <w:sz w:val="21"/>
                <w:szCs w:val="21"/>
              </w:rPr>
              <w:t xml:space="preserve">del numero e/o della firma del legale rappresentante e/o del timbro </w:t>
            </w:r>
          </w:p>
        </w:tc>
        <w:tc>
          <w:tcPr>
            <w:tcW w:w="3828" w:type="dxa"/>
          </w:tcPr>
          <w:p w:rsidR="00DC1A56" w:rsidRPr="00EB4F4F" w:rsidRDefault="00DC1A56" w:rsidP="00DC1A56">
            <w:pPr>
              <w:pStyle w:val="Default"/>
              <w:jc w:val="both"/>
              <w:rPr>
                <w:sz w:val="21"/>
                <w:szCs w:val="21"/>
              </w:rPr>
            </w:pPr>
            <w:r w:rsidRPr="00EB4F4F">
              <w:rPr>
                <w:rFonts w:ascii="Times New Roman" w:hAnsi="Times New Roman" w:cs="Times New Roman"/>
                <w:b/>
                <w:bCs/>
                <w:sz w:val="21"/>
                <w:szCs w:val="21"/>
              </w:rPr>
              <w:t xml:space="preserve">sospensione </w:t>
            </w:r>
            <w:r w:rsidRPr="00EB4F4F">
              <w:rPr>
                <w:rFonts w:ascii="Times New Roman" w:hAnsi="Times New Roman" w:cs="Times New Roman"/>
                <w:sz w:val="21"/>
                <w:szCs w:val="21"/>
              </w:rPr>
              <w:t xml:space="preserve">dalla partecipazione al programma in corso fino all’accertamento del superamento dell’anomalia. </w:t>
            </w:r>
          </w:p>
        </w:tc>
      </w:tr>
      <w:tr w:rsidR="00DC1A56" w:rsidRPr="00EB4F4F" w:rsidTr="00572003">
        <w:trPr>
          <w:trHeight w:val="335"/>
        </w:trPr>
        <w:tc>
          <w:tcPr>
            <w:tcW w:w="504"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6 </w:t>
            </w:r>
          </w:p>
        </w:tc>
        <w:tc>
          <w:tcPr>
            <w:tcW w:w="5269" w:type="dxa"/>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c>
          <w:tcPr>
            <w:tcW w:w="3828" w:type="dxa"/>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r>
      <w:tr w:rsidR="00DC1A56" w:rsidRPr="00EB4F4F" w:rsidTr="00572003">
        <w:trPr>
          <w:trHeight w:val="284"/>
        </w:trPr>
        <w:tc>
          <w:tcPr>
            <w:tcW w:w="504"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7 </w:t>
            </w:r>
          </w:p>
        </w:tc>
        <w:tc>
          <w:tcPr>
            <w:tcW w:w="5269" w:type="dxa"/>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c>
          <w:tcPr>
            <w:tcW w:w="3828" w:type="dxa"/>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r>
      <w:tr w:rsidR="00DC1A56" w:rsidRPr="00EB4F4F" w:rsidTr="00572003">
        <w:trPr>
          <w:trHeight w:val="273"/>
        </w:trPr>
        <w:tc>
          <w:tcPr>
            <w:tcW w:w="504"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8 </w:t>
            </w:r>
          </w:p>
        </w:tc>
        <w:tc>
          <w:tcPr>
            <w:tcW w:w="5269" w:type="dxa"/>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c>
          <w:tcPr>
            <w:tcW w:w="3828" w:type="dxa"/>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r>
      <w:tr w:rsidR="00DC1A56" w:rsidRPr="00EB4F4F" w:rsidTr="00572003">
        <w:trPr>
          <w:trHeight w:val="523"/>
        </w:trPr>
        <w:tc>
          <w:tcPr>
            <w:tcW w:w="504" w:type="dxa"/>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b/>
                <w:bCs/>
                <w:sz w:val="21"/>
                <w:szCs w:val="21"/>
              </w:rPr>
              <w:t xml:space="preserve">9 </w:t>
            </w:r>
          </w:p>
        </w:tc>
        <w:tc>
          <w:tcPr>
            <w:tcW w:w="5269" w:type="dxa"/>
          </w:tcPr>
          <w:p w:rsidR="00DC1A56" w:rsidRPr="00EB4F4F" w:rsidRDefault="00DC1A56" w:rsidP="00DC1A56">
            <w:pPr>
              <w:pStyle w:val="Default"/>
              <w:jc w:val="both"/>
              <w:rPr>
                <w:sz w:val="21"/>
                <w:szCs w:val="21"/>
              </w:rPr>
            </w:pPr>
            <w:r w:rsidRPr="00EB4F4F">
              <w:rPr>
                <w:rFonts w:ascii="Times New Roman" w:hAnsi="Times New Roman" w:cs="Times New Roman"/>
                <w:sz w:val="21"/>
                <w:szCs w:val="21"/>
              </w:rPr>
              <w:t xml:space="preserve">dichiarazioni di consegna </w:t>
            </w:r>
            <w:r w:rsidRPr="00EB4F4F">
              <w:rPr>
                <w:rFonts w:ascii="Times New Roman" w:hAnsi="Times New Roman" w:cs="Times New Roman"/>
                <w:b/>
                <w:bCs/>
                <w:sz w:val="21"/>
                <w:szCs w:val="21"/>
              </w:rPr>
              <w:t xml:space="preserve">privi </w:t>
            </w:r>
            <w:r w:rsidRPr="00EB4F4F">
              <w:rPr>
                <w:rFonts w:ascii="Times New Roman" w:hAnsi="Times New Roman" w:cs="Times New Roman"/>
                <w:sz w:val="21"/>
                <w:szCs w:val="21"/>
              </w:rPr>
              <w:t xml:space="preserve">del numero dei destinatari e/o della quantità e/o del genere di prodotto assegnato e/o della firma del legale rappresentante </w:t>
            </w:r>
          </w:p>
        </w:tc>
        <w:tc>
          <w:tcPr>
            <w:tcW w:w="3828" w:type="dxa"/>
          </w:tcPr>
          <w:p w:rsidR="00DC1A56" w:rsidRPr="00EB4F4F" w:rsidRDefault="00DC1A56" w:rsidP="00DC1A56">
            <w:pPr>
              <w:pStyle w:val="Default"/>
              <w:jc w:val="both"/>
              <w:rPr>
                <w:sz w:val="21"/>
                <w:szCs w:val="21"/>
              </w:rPr>
            </w:pPr>
            <w:r w:rsidRPr="00EB4F4F">
              <w:rPr>
                <w:rFonts w:ascii="Times New Roman" w:hAnsi="Times New Roman" w:cs="Times New Roman"/>
                <w:b/>
                <w:bCs/>
                <w:sz w:val="21"/>
                <w:szCs w:val="21"/>
              </w:rPr>
              <w:t xml:space="preserve">esclusione </w:t>
            </w:r>
            <w:r w:rsidRPr="00EB4F4F">
              <w:rPr>
                <w:rFonts w:ascii="Times New Roman" w:hAnsi="Times New Roman" w:cs="Times New Roman"/>
                <w:sz w:val="21"/>
                <w:szCs w:val="21"/>
              </w:rPr>
              <w:t xml:space="preserve">dalla partecipazione al programma in corso </w:t>
            </w:r>
          </w:p>
        </w:tc>
      </w:tr>
      <w:tr w:rsidR="00DC1A56" w:rsidRPr="00EB4F4F" w:rsidTr="00572003">
        <w:trPr>
          <w:trHeight w:val="523"/>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10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dichiarazioni di consegna privi del numero e/o della data </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sospensione </w:t>
            </w:r>
            <w:r w:rsidRPr="00EB4F4F">
              <w:rPr>
                <w:rFonts w:ascii="Times New Roman" w:hAnsi="Times New Roman" w:cs="Times New Roman"/>
                <w:bCs/>
                <w:sz w:val="21"/>
                <w:szCs w:val="21"/>
              </w:rPr>
              <w:t>dalla partecipazione al programma in corso fino all’accertamento del superamento dell’anomalia</w:t>
            </w:r>
            <w:r w:rsidRPr="00EB4F4F">
              <w:rPr>
                <w:rFonts w:ascii="Times New Roman" w:hAnsi="Times New Roman" w:cs="Times New Roman"/>
                <w:b/>
                <w:bCs/>
                <w:sz w:val="21"/>
                <w:szCs w:val="21"/>
              </w:rPr>
              <w:t xml:space="preserve"> </w:t>
            </w:r>
          </w:p>
        </w:tc>
      </w:tr>
      <w:tr w:rsidR="00DC1A56" w:rsidRPr="00EB4F4F" w:rsidTr="00572003">
        <w:trPr>
          <w:trHeight w:val="523"/>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11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assenza e/o incompletezza dei fascicoli delle OpT </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sospensione della OpC </w:t>
            </w:r>
            <w:r w:rsidRPr="00EB4F4F">
              <w:rPr>
                <w:rFonts w:ascii="Times New Roman" w:hAnsi="Times New Roman" w:cs="Times New Roman"/>
                <w:bCs/>
                <w:sz w:val="21"/>
                <w:szCs w:val="21"/>
              </w:rPr>
              <w:t>fino all’accertamento del superamento dell’anomalia.</w:t>
            </w:r>
            <w:r w:rsidRPr="00EB4F4F">
              <w:rPr>
                <w:rFonts w:ascii="Times New Roman" w:hAnsi="Times New Roman" w:cs="Times New Roman"/>
                <w:b/>
                <w:bCs/>
                <w:sz w:val="21"/>
                <w:szCs w:val="21"/>
              </w:rPr>
              <w:t xml:space="preserve"> </w:t>
            </w:r>
          </w:p>
        </w:tc>
      </w:tr>
      <w:tr w:rsidR="00DC1A56" w:rsidRPr="00EB4F4F" w:rsidTr="00572003">
        <w:trPr>
          <w:trHeight w:val="341"/>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12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r>
      <w:tr w:rsidR="00DC1A56" w:rsidRPr="00EB4F4F" w:rsidTr="00572003">
        <w:trPr>
          <w:trHeight w:val="276"/>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13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r>
      <w:tr w:rsidR="00DC1A56" w:rsidRPr="00EB4F4F" w:rsidTr="00572003">
        <w:trPr>
          <w:trHeight w:val="279"/>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14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487514" w:rsidP="00965AA5">
            <w:pPr>
              <w:pStyle w:val="Default"/>
              <w:jc w:val="center"/>
              <w:rPr>
                <w:rFonts w:ascii="Times New Roman" w:hAnsi="Times New Roman" w:cs="Times New Roman"/>
                <w:sz w:val="21"/>
                <w:szCs w:val="21"/>
              </w:rPr>
            </w:pPr>
            <w:r w:rsidRPr="00EB4F4F">
              <w:rPr>
                <w:rFonts w:ascii="Times New Roman" w:hAnsi="Times New Roman" w:cs="Times New Roman"/>
                <w:sz w:val="21"/>
                <w:szCs w:val="21"/>
              </w:rPr>
              <w:t>…OMISSIS…</w:t>
            </w:r>
          </w:p>
        </w:tc>
      </w:tr>
      <w:tr w:rsidR="00DC1A56" w:rsidRPr="00EB4F4F" w:rsidTr="00572003">
        <w:trPr>
          <w:trHeight w:val="523"/>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15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non adeguata conservazione del prodotto, tale da determinarne il deterioramento o la decorrenza del termine di scadenza per il consumo </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esclusione </w:t>
            </w:r>
            <w:r w:rsidRPr="00EB4F4F">
              <w:rPr>
                <w:rFonts w:ascii="Times New Roman" w:hAnsi="Times New Roman" w:cs="Times New Roman"/>
                <w:bCs/>
                <w:sz w:val="21"/>
                <w:szCs w:val="21"/>
              </w:rPr>
              <w:t>dalla partecipazione al programma in corso e</w:t>
            </w:r>
            <w:r w:rsidRPr="00EB4F4F">
              <w:rPr>
                <w:rFonts w:ascii="Times New Roman" w:hAnsi="Times New Roman" w:cs="Times New Roman"/>
                <w:b/>
                <w:bCs/>
                <w:sz w:val="21"/>
                <w:szCs w:val="21"/>
              </w:rPr>
              <w:t xml:space="preserve"> recupero </w:t>
            </w:r>
            <w:r w:rsidRPr="00EB4F4F">
              <w:rPr>
                <w:rFonts w:ascii="Times New Roman" w:hAnsi="Times New Roman" w:cs="Times New Roman"/>
                <w:bCs/>
                <w:sz w:val="21"/>
                <w:szCs w:val="21"/>
              </w:rPr>
              <w:t>del controvalore dei prodotti deteriorati e/o scaduti.</w:t>
            </w:r>
            <w:r w:rsidRPr="00EB4F4F">
              <w:rPr>
                <w:rFonts w:ascii="Times New Roman" w:hAnsi="Times New Roman" w:cs="Times New Roman"/>
                <w:b/>
                <w:bCs/>
                <w:sz w:val="21"/>
                <w:szCs w:val="21"/>
              </w:rPr>
              <w:t xml:space="preserve"> </w:t>
            </w:r>
          </w:p>
        </w:tc>
      </w:tr>
      <w:tr w:rsidR="00DC1A56" w:rsidRPr="00EB4F4F" w:rsidTr="00572003">
        <w:trPr>
          <w:trHeight w:val="523"/>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16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assenza della evidenza documentale di quanto previsto al punto 2, Capitolo 4 delle presenti Istruzioni Operative (nuova OpT) </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sospensione della OpC </w:t>
            </w:r>
            <w:r w:rsidRPr="00EB4F4F">
              <w:rPr>
                <w:rFonts w:ascii="Times New Roman" w:hAnsi="Times New Roman" w:cs="Times New Roman"/>
                <w:bCs/>
                <w:sz w:val="21"/>
                <w:szCs w:val="21"/>
              </w:rPr>
              <w:t>fino all’accertamento del superamento dell’anomalia.</w:t>
            </w:r>
            <w:r w:rsidRPr="00EB4F4F">
              <w:rPr>
                <w:rFonts w:ascii="Times New Roman" w:hAnsi="Times New Roman" w:cs="Times New Roman"/>
                <w:b/>
                <w:bCs/>
                <w:sz w:val="21"/>
                <w:szCs w:val="21"/>
              </w:rPr>
              <w:t xml:space="preserve"> </w:t>
            </w:r>
          </w:p>
        </w:tc>
      </w:tr>
      <w:tr w:rsidR="00DC1A56" w:rsidRPr="00EB4F4F" w:rsidTr="00572003">
        <w:trPr>
          <w:trHeight w:val="523"/>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17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assenza della evidenza documentale di quanto previsto nei commi a. e/o b., punto 3, Capitolo 4 delle presenti Istruzioni Operative (verifiche annuali) </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sospensione della OpC </w:t>
            </w:r>
            <w:r w:rsidRPr="00EB4F4F">
              <w:rPr>
                <w:rFonts w:ascii="Times New Roman" w:hAnsi="Times New Roman" w:cs="Times New Roman"/>
                <w:bCs/>
                <w:sz w:val="21"/>
                <w:szCs w:val="21"/>
              </w:rPr>
              <w:t>fino all’accertamento del superamento dell’anomalia.</w:t>
            </w:r>
            <w:r w:rsidRPr="00EB4F4F">
              <w:rPr>
                <w:rFonts w:ascii="Times New Roman" w:hAnsi="Times New Roman" w:cs="Times New Roman"/>
                <w:b/>
                <w:bCs/>
                <w:sz w:val="21"/>
                <w:szCs w:val="21"/>
              </w:rPr>
              <w:t xml:space="preserve"> </w:t>
            </w:r>
          </w:p>
        </w:tc>
      </w:tr>
      <w:tr w:rsidR="00DC1A56" w:rsidRPr="00EB4F4F" w:rsidTr="00572003">
        <w:trPr>
          <w:trHeight w:val="523"/>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18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assenza e/o incompletezza: </w:t>
            </w:r>
          </w:p>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1) dell’elenco degli assistiti in maniera continuativa; </w:t>
            </w:r>
          </w:p>
          <w:p w:rsidR="00DC1A56" w:rsidRPr="00EB4F4F" w:rsidRDefault="00DC1A56" w:rsidP="006B6B8D">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2) dei fascicoli individuali. </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sospensione della OpT </w:t>
            </w:r>
            <w:r w:rsidRPr="00EB4F4F">
              <w:rPr>
                <w:rFonts w:ascii="Times New Roman" w:hAnsi="Times New Roman" w:cs="Times New Roman"/>
                <w:bCs/>
                <w:sz w:val="21"/>
                <w:szCs w:val="21"/>
              </w:rPr>
              <w:t>fino all’accertamento del superamento dell’anomalia.</w:t>
            </w:r>
          </w:p>
        </w:tc>
      </w:tr>
      <w:tr w:rsidR="00DC1A56" w:rsidRPr="00EB4F4F" w:rsidTr="00572003">
        <w:trPr>
          <w:trHeight w:val="523"/>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19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l’OpT non attua alcuna delle “misure di accompagnamento” dichiarate. </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esclusione della OpT </w:t>
            </w:r>
            <w:r w:rsidRPr="00EB4F4F">
              <w:rPr>
                <w:rFonts w:ascii="Times New Roman" w:hAnsi="Times New Roman" w:cs="Times New Roman"/>
                <w:bCs/>
                <w:sz w:val="21"/>
                <w:szCs w:val="21"/>
              </w:rPr>
              <w:t>dalla partecipazione al programma in corso.</w:t>
            </w:r>
            <w:r w:rsidRPr="00EB4F4F">
              <w:rPr>
                <w:rFonts w:ascii="Times New Roman" w:hAnsi="Times New Roman" w:cs="Times New Roman"/>
                <w:b/>
                <w:bCs/>
                <w:sz w:val="21"/>
                <w:szCs w:val="21"/>
              </w:rPr>
              <w:t xml:space="preserve"> </w:t>
            </w:r>
          </w:p>
        </w:tc>
      </w:tr>
      <w:tr w:rsidR="00DC1A56" w:rsidRPr="00EB4F4F" w:rsidTr="00572003">
        <w:trPr>
          <w:trHeight w:val="523"/>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20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il numero “totale assistiti” dichiarato da una OpT supera del 20% il dato rilevato in fase di controllo. </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esclusione della OpT </w:t>
            </w:r>
            <w:r w:rsidRPr="00EB4F4F">
              <w:rPr>
                <w:rFonts w:ascii="Times New Roman" w:hAnsi="Times New Roman" w:cs="Times New Roman"/>
                <w:bCs/>
                <w:sz w:val="21"/>
                <w:szCs w:val="21"/>
              </w:rPr>
              <w:t>dalla partecipazione al programma in corso.</w:t>
            </w:r>
            <w:r w:rsidRPr="00EB4F4F">
              <w:rPr>
                <w:rFonts w:ascii="Times New Roman" w:hAnsi="Times New Roman" w:cs="Times New Roman"/>
                <w:b/>
                <w:bCs/>
                <w:sz w:val="21"/>
                <w:szCs w:val="21"/>
              </w:rPr>
              <w:t xml:space="preserve"> </w:t>
            </w:r>
          </w:p>
        </w:tc>
      </w:tr>
      <w:tr w:rsidR="00DC1A56" w:rsidRPr="00EB4F4F" w:rsidTr="00572003">
        <w:trPr>
          <w:trHeight w:val="523"/>
        </w:trPr>
        <w:tc>
          <w:tcPr>
            <w:tcW w:w="504"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21 </w:t>
            </w:r>
          </w:p>
        </w:tc>
        <w:tc>
          <w:tcPr>
            <w:tcW w:w="5269"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sz w:val="21"/>
                <w:szCs w:val="21"/>
              </w:rPr>
            </w:pPr>
            <w:r w:rsidRPr="00EB4F4F">
              <w:rPr>
                <w:rFonts w:ascii="Times New Roman" w:hAnsi="Times New Roman" w:cs="Times New Roman"/>
                <w:sz w:val="21"/>
                <w:szCs w:val="21"/>
              </w:rPr>
              <w:t xml:space="preserve">assenza del cartello con logo comunitario </w:t>
            </w:r>
          </w:p>
        </w:tc>
        <w:tc>
          <w:tcPr>
            <w:tcW w:w="3828" w:type="dxa"/>
            <w:tcBorders>
              <w:top w:val="single" w:sz="4" w:space="0" w:color="auto"/>
              <w:left w:val="single" w:sz="4" w:space="0" w:color="auto"/>
              <w:bottom w:val="single" w:sz="4" w:space="0" w:color="auto"/>
              <w:right w:val="single" w:sz="4" w:space="0" w:color="auto"/>
            </w:tcBorders>
          </w:tcPr>
          <w:p w:rsidR="00DC1A56" w:rsidRPr="00EB4F4F" w:rsidRDefault="00DC1A56" w:rsidP="00DC1A56">
            <w:pPr>
              <w:pStyle w:val="Default"/>
              <w:jc w:val="both"/>
              <w:rPr>
                <w:rFonts w:ascii="Times New Roman" w:hAnsi="Times New Roman" w:cs="Times New Roman"/>
                <w:b/>
                <w:bCs/>
                <w:sz w:val="21"/>
                <w:szCs w:val="21"/>
              </w:rPr>
            </w:pPr>
            <w:r w:rsidRPr="00EB4F4F">
              <w:rPr>
                <w:rFonts w:ascii="Times New Roman" w:hAnsi="Times New Roman" w:cs="Times New Roman"/>
                <w:b/>
                <w:bCs/>
                <w:sz w:val="21"/>
                <w:szCs w:val="21"/>
              </w:rPr>
              <w:t xml:space="preserve">ammonimento ed esclusione </w:t>
            </w:r>
            <w:r w:rsidRPr="00EB4F4F">
              <w:rPr>
                <w:rFonts w:ascii="Times New Roman" w:hAnsi="Times New Roman" w:cs="Times New Roman"/>
                <w:bCs/>
                <w:sz w:val="21"/>
                <w:szCs w:val="21"/>
              </w:rPr>
              <w:t xml:space="preserve">dalla partecipazione al programma in caso di reiterazione dell’anomalia. </w:t>
            </w:r>
          </w:p>
        </w:tc>
      </w:tr>
    </w:tbl>
    <w:p w:rsidR="00944EA9" w:rsidRPr="00EB4F4F" w:rsidRDefault="00DC1A56" w:rsidP="00FB16B9">
      <w:pPr>
        <w:autoSpaceDE w:val="0"/>
        <w:autoSpaceDN w:val="0"/>
        <w:adjustRightInd w:val="0"/>
        <w:spacing w:after="0" w:line="240" w:lineRule="auto"/>
        <w:jc w:val="both"/>
        <w:rPr>
          <w:rFonts w:ascii="Times New Roman" w:hAnsi="Times New Roman" w:cs="Times New Roman"/>
          <w:color w:val="000000"/>
          <w:sz w:val="21"/>
          <w:szCs w:val="21"/>
        </w:rPr>
      </w:pPr>
      <w:r w:rsidRPr="00EB4F4F">
        <w:rPr>
          <w:rFonts w:ascii="Times New Roman" w:hAnsi="Times New Roman" w:cs="Times New Roman"/>
          <w:color w:val="000000"/>
          <w:sz w:val="21"/>
          <w:szCs w:val="21"/>
        </w:rPr>
        <w:lastRenderedPageBreak/>
        <w:t xml:space="preserve">Sono fatti salvi i provvedimenti da adottarsi in forza della norma europea e nazionale, in caso si rilevino fattispecie di anomalia che – essendo allo stato non statisticamente osservate – non rientrano nella classificazione sopra riportata. </w:t>
      </w:r>
    </w:p>
    <w:p w:rsidR="00FB16B9" w:rsidRPr="00EB4F4F" w:rsidRDefault="00FB16B9" w:rsidP="00DC1A56">
      <w:pPr>
        <w:autoSpaceDE w:val="0"/>
        <w:autoSpaceDN w:val="0"/>
        <w:adjustRightInd w:val="0"/>
        <w:spacing w:after="0" w:line="240" w:lineRule="auto"/>
        <w:rPr>
          <w:rFonts w:ascii="Times New Roman" w:hAnsi="Times New Roman" w:cs="Times New Roman"/>
          <w:color w:val="000000"/>
          <w:sz w:val="21"/>
          <w:szCs w:val="21"/>
        </w:rPr>
      </w:pPr>
    </w:p>
    <w:p w:rsidR="00DC1A56" w:rsidRPr="00EB4F4F" w:rsidRDefault="00DC1A56" w:rsidP="00FB16B9">
      <w:pPr>
        <w:autoSpaceDE w:val="0"/>
        <w:autoSpaceDN w:val="0"/>
        <w:adjustRightInd w:val="0"/>
        <w:spacing w:after="0" w:line="240" w:lineRule="auto"/>
        <w:jc w:val="both"/>
        <w:rPr>
          <w:rFonts w:ascii="Times New Roman" w:hAnsi="Times New Roman" w:cs="Times New Roman"/>
          <w:color w:val="000000"/>
          <w:sz w:val="21"/>
          <w:szCs w:val="21"/>
        </w:rPr>
      </w:pPr>
      <w:r w:rsidRPr="00EB4F4F">
        <w:rPr>
          <w:rFonts w:ascii="Times New Roman" w:hAnsi="Times New Roman" w:cs="Times New Roman"/>
          <w:b/>
          <w:bCs/>
          <w:color w:val="000000"/>
          <w:sz w:val="21"/>
          <w:szCs w:val="21"/>
        </w:rPr>
        <w:t xml:space="preserve">9. MODALITA’ DI CONSEGNA DEL PRODOTTO ASSEGNATO </w:t>
      </w:r>
    </w:p>
    <w:p w:rsidR="00487514" w:rsidRPr="00EB4F4F" w:rsidRDefault="00487514" w:rsidP="00487514">
      <w:pPr>
        <w:pStyle w:val="Default"/>
        <w:jc w:val="both"/>
        <w:rPr>
          <w:rFonts w:ascii="Times New Roman" w:hAnsi="Times New Roman" w:cs="Times New Roman"/>
          <w:sz w:val="21"/>
          <w:szCs w:val="21"/>
        </w:rPr>
      </w:pPr>
      <w:r w:rsidRPr="00EB4F4F">
        <w:rPr>
          <w:rFonts w:ascii="Times New Roman" w:hAnsi="Times New Roman" w:cs="Times New Roman"/>
          <w:sz w:val="21"/>
          <w:szCs w:val="21"/>
        </w:rPr>
        <w:t>…OMISSIS…</w:t>
      </w:r>
    </w:p>
    <w:p w:rsidR="00DC1A56" w:rsidRPr="00EB4F4F" w:rsidRDefault="00DC1A56" w:rsidP="00DC1A56">
      <w:pPr>
        <w:autoSpaceDE w:val="0"/>
        <w:autoSpaceDN w:val="0"/>
        <w:adjustRightInd w:val="0"/>
        <w:spacing w:after="0" w:line="240" w:lineRule="auto"/>
        <w:rPr>
          <w:rFonts w:ascii="Times New Roman" w:hAnsi="Times New Roman" w:cs="Times New Roman"/>
          <w:color w:val="000000"/>
          <w:sz w:val="21"/>
          <w:szCs w:val="21"/>
        </w:rPr>
      </w:pPr>
      <w:r w:rsidRPr="00EB4F4F">
        <w:rPr>
          <w:rFonts w:ascii="Times New Roman" w:hAnsi="Times New Roman" w:cs="Times New Roman"/>
          <w:b/>
          <w:bCs/>
          <w:color w:val="000000"/>
          <w:sz w:val="21"/>
          <w:szCs w:val="21"/>
        </w:rPr>
        <w:t xml:space="preserve">10. INFORMATIVA SUL TRATTAMENTO DEI DATI PERSONALI AI SENSI DELL'ART. 13 DEL D.LGS. n. 196 DEL 2003 </w:t>
      </w:r>
    </w:p>
    <w:p w:rsidR="00DC1A56" w:rsidRPr="00EB4F4F" w:rsidRDefault="00DC1A56" w:rsidP="00FB16B9">
      <w:pPr>
        <w:autoSpaceDE w:val="0"/>
        <w:autoSpaceDN w:val="0"/>
        <w:adjustRightInd w:val="0"/>
        <w:spacing w:after="0" w:line="240" w:lineRule="auto"/>
        <w:jc w:val="both"/>
        <w:rPr>
          <w:rFonts w:ascii="Times New Roman" w:hAnsi="Times New Roman" w:cs="Times New Roman"/>
          <w:color w:val="000000"/>
          <w:sz w:val="21"/>
          <w:szCs w:val="21"/>
        </w:rPr>
      </w:pPr>
      <w:r w:rsidRPr="00EB4F4F">
        <w:rPr>
          <w:rFonts w:ascii="Times New Roman" w:hAnsi="Times New Roman" w:cs="Times New Roman"/>
          <w:color w:val="000000"/>
          <w:sz w:val="21"/>
          <w:szCs w:val="21"/>
        </w:rPr>
        <w:t xml:space="preserve">Il D.Lgs. 30 giugno 2003, n. 196, "Codice in materia di protezione dei dati personali", prevede un sistema di garanzie a tutela dei trattamenti che vengono effettuati sui dati personali. </w:t>
      </w:r>
    </w:p>
    <w:p w:rsidR="00581681" w:rsidRPr="00EB4F4F" w:rsidRDefault="00DC1A56" w:rsidP="00DC1A56">
      <w:pPr>
        <w:spacing w:after="0" w:line="240" w:lineRule="auto"/>
        <w:jc w:val="both"/>
        <w:rPr>
          <w:rFonts w:ascii="Times New Roman" w:hAnsi="Times New Roman" w:cs="Times New Roman"/>
          <w:color w:val="000000"/>
          <w:sz w:val="21"/>
          <w:szCs w:val="21"/>
        </w:rPr>
      </w:pPr>
      <w:r w:rsidRPr="00EB4F4F">
        <w:rPr>
          <w:rFonts w:ascii="Times New Roman" w:hAnsi="Times New Roman" w:cs="Times New Roman"/>
          <w:color w:val="000000"/>
          <w:sz w:val="21"/>
          <w:szCs w:val="21"/>
        </w:rPr>
        <w:t>Di seguito, pertanto, si illustra sinteticamente come verranno utilizzati i dati dichiarati e quali sono i diritti riconosciuti all'interessato:</w:t>
      </w:r>
    </w:p>
    <w:tbl>
      <w:tblPr>
        <w:tblW w:w="10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6"/>
        <w:gridCol w:w="8234"/>
      </w:tblGrid>
      <w:tr w:rsidR="00DC1A56" w:rsidRPr="00EB4F4F" w:rsidTr="006F3E4D">
        <w:trPr>
          <w:trHeight w:val="2372"/>
        </w:trPr>
        <w:tc>
          <w:tcPr>
            <w:tcW w:w="1946" w:type="dxa"/>
          </w:tcPr>
          <w:p w:rsidR="00DC1A56" w:rsidRPr="00EB4F4F" w:rsidRDefault="00DC1A56" w:rsidP="00DC1A56">
            <w:pPr>
              <w:autoSpaceDE w:val="0"/>
              <w:autoSpaceDN w:val="0"/>
              <w:adjustRightInd w:val="0"/>
              <w:spacing w:after="0" w:line="240" w:lineRule="auto"/>
              <w:rPr>
                <w:rFonts w:ascii="Arial" w:hAnsi="Arial" w:cs="Arial"/>
                <w:color w:val="000000"/>
                <w:sz w:val="18"/>
                <w:szCs w:val="21"/>
              </w:rPr>
            </w:pPr>
            <w:r w:rsidRPr="00EB4F4F">
              <w:rPr>
                <w:rFonts w:ascii="Arial" w:hAnsi="Arial" w:cs="Arial"/>
                <w:b/>
                <w:bCs/>
                <w:color w:val="000000"/>
                <w:sz w:val="18"/>
                <w:szCs w:val="21"/>
              </w:rPr>
              <w:t xml:space="preserve">Finalità del trattamento </w:t>
            </w:r>
          </w:p>
        </w:tc>
        <w:tc>
          <w:tcPr>
            <w:tcW w:w="8234" w:type="dxa"/>
          </w:tcPr>
          <w:p w:rsidR="00487514"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I dati personali, che l'Agenzia per le erogazioni in agricoltura (AGEA), - istituita con il Decreto Legislativo n. 165/99 e s.m.i, - richiede o già detiene per lo svolgimento delle proprie attività istituzionali, sono trattati per : </w:t>
            </w:r>
          </w:p>
          <w:p w:rsidR="00487514"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a. finalità connesse e strumentali alla gestione ed elaborazione delle informazioni relative alla Sua Organizzazione per il rispetto delle finalità di cui all’art. 19 del Regolamento (UE) N. 233/2014 relativo al Fondo di aiuti europei agli indigenti (FEAD, inclusa quindi la raccolta dati e l'inserimento nel Sistema Informativo Agricolo Nazionale (SIAN) ovvero nel sistema informativo per la gestione del FEAD predisposto dalla Autorità di gestione del Programma, per la costituzione o l'aggiornamento dell'Anagrafe delle Organizzazioni e la presentazione di istanze per la richiesta di aiuti, erogazioni, e rimborsi spese;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b. accertamenti amministrativi, accertamenti in loco e gestione del contenzioso;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c. adempimento di disposizioni comunitarie e nazionali;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d. obblighi di ogni altra natura comunque connessi alle finalità di cui ai precedenti punti, ivi incluse richieste di dati da parte di altre amministrazioni pubbliche ai sensi nella normativa vigente;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e. gestione delle credenziali per assicurare l'accesso ai servizi del SIAN ed invio comunicazioni relative ai servizi istituzionali, anche mediante l'utilizzo di posta elettronica. </w:t>
            </w:r>
          </w:p>
        </w:tc>
      </w:tr>
      <w:tr w:rsidR="00DC1A56" w:rsidRPr="00EB4F4F" w:rsidTr="006F3E4D">
        <w:trPr>
          <w:trHeight w:val="871"/>
        </w:trPr>
        <w:tc>
          <w:tcPr>
            <w:tcW w:w="1946" w:type="dxa"/>
          </w:tcPr>
          <w:p w:rsidR="00DC1A56" w:rsidRPr="00EB4F4F" w:rsidRDefault="00DC1A56" w:rsidP="00DC1A56">
            <w:pPr>
              <w:autoSpaceDE w:val="0"/>
              <w:autoSpaceDN w:val="0"/>
              <w:adjustRightInd w:val="0"/>
              <w:spacing w:after="0" w:line="240" w:lineRule="auto"/>
              <w:rPr>
                <w:rFonts w:ascii="Arial" w:hAnsi="Arial" w:cs="Arial"/>
                <w:color w:val="000000"/>
                <w:sz w:val="18"/>
                <w:szCs w:val="21"/>
              </w:rPr>
            </w:pPr>
            <w:r w:rsidRPr="00EB4F4F">
              <w:rPr>
                <w:rFonts w:ascii="Arial" w:hAnsi="Arial" w:cs="Arial"/>
                <w:b/>
                <w:bCs/>
                <w:color w:val="000000"/>
                <w:sz w:val="18"/>
                <w:szCs w:val="21"/>
              </w:rPr>
              <w:t xml:space="preserve">Modalità del trattamento </w:t>
            </w:r>
          </w:p>
        </w:tc>
        <w:tc>
          <w:tcPr>
            <w:tcW w:w="8234" w:type="dxa"/>
          </w:tcPr>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I dati personali trattati sono raccolti direttamente attraverso il soggetto interessato oppure presso i soggetti delegati ad acquisire documentazione cartacea ed alla trasmissione dei dati in via telematica al SIAN ovvero al Sistema informativo per la gestione del FEAD (Art. 32 lett. d).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I trattamenti dei dati personali vengono effettuati mediante elaborazioni elettroniche (o comunque automatizzate), ovvero mediante trattamenti manuali in modo tale da garantire la riservatezza e la sicurezza dei dati personali in relazione al procedimento amministrativo gestito. </w:t>
            </w:r>
          </w:p>
        </w:tc>
      </w:tr>
      <w:tr w:rsidR="00DC1A56" w:rsidRPr="00EB4F4F" w:rsidTr="006F3E4D">
        <w:trPr>
          <w:trHeight w:val="871"/>
        </w:trPr>
        <w:tc>
          <w:tcPr>
            <w:tcW w:w="1946" w:type="dxa"/>
          </w:tcPr>
          <w:p w:rsidR="00DC1A56" w:rsidRPr="00EB4F4F" w:rsidRDefault="00DC1A56" w:rsidP="00DC1A56">
            <w:pPr>
              <w:autoSpaceDE w:val="0"/>
              <w:autoSpaceDN w:val="0"/>
              <w:adjustRightInd w:val="0"/>
              <w:spacing w:after="0" w:line="240" w:lineRule="auto"/>
              <w:rPr>
                <w:rFonts w:ascii="Arial" w:hAnsi="Arial" w:cs="Arial"/>
                <w:b/>
                <w:bCs/>
                <w:color w:val="000000"/>
                <w:sz w:val="18"/>
                <w:szCs w:val="21"/>
              </w:rPr>
            </w:pPr>
            <w:r w:rsidRPr="00EB4F4F">
              <w:rPr>
                <w:rFonts w:ascii="Arial" w:hAnsi="Arial" w:cs="Arial"/>
                <w:b/>
                <w:bCs/>
                <w:color w:val="000000"/>
                <w:sz w:val="18"/>
                <w:szCs w:val="21"/>
              </w:rPr>
              <w:t xml:space="preserve">Ambito di comunicazione e diffusione dei dati personali </w:t>
            </w:r>
          </w:p>
        </w:tc>
        <w:tc>
          <w:tcPr>
            <w:tcW w:w="8234" w:type="dxa"/>
          </w:tcPr>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Alcuni dati sono resi pubblici ai sensi delle vigenti disposizioni comunitarie e nazionali in materia di trasparenza.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In particolare, i dati dei beneficiari degli stanziamenti dei Fondi europei FEAGA e FEASR con riferimento agli importi percepiti nell'esercizio finanziario dell'anno precedente debbono essere consultabili con semplici strumenti di ricerca sul portale del SIAN a norma dei regolamenti CE 1290/2005 e CE 259/2008, e possono essere trattati da organismi di audit e di investigazione della Comunità Europea e degli Stati membri ai fini della tutela degli interessi finanziari della Comunità.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Inoltre, riguardo al FEAD, i dati delle Organizzazioni partner responsabili della distribuzione alimentare, nonché beneficiari dei rimborsi forfettari relativi alle spese di amministrazione, di trasporto e di immagazzinaggio, devono essere resi disponibili ai sensi dell’art.19, comma 2 del Regolamento(UE) N. 233/2014 relativo al Fondo di aiuti europei agli indigenti.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I dati personali trattati nel SIAN possono essere comunicati, per lo svolgimento di funzioni istituzionali, ad altri soggetti pubblici (quali, ad esempio, il Ministero del lavoro e delle politiche sociali in qualità di autorità di gestione, certificazione e audit, del FEAD, l’Agenzia delle Entrate, l’Agenzia del Territorio, Organismi pagatori e Organismi di vigilanza, Ministero delle politiche agricole alimentari e forestali ed enti collegati, Regioni, Comuni, I.N.P.S., ecc.), ovvero alle istituzioni competenti dell'Unione Europea ed alle Autorità Giudiziarie e di Pubblica Sicurezza, in adempimento a disposizioni comunitarie e nazionali.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Gli stessi dati possono altresì essere comunicati a privati o enti pubblici economici qualora ciò sia previsto da disposizioni comunitarie o nazionali. </w:t>
            </w:r>
          </w:p>
        </w:tc>
      </w:tr>
      <w:tr w:rsidR="00DC1A56" w:rsidRPr="00EB4F4F" w:rsidTr="006F3E4D">
        <w:trPr>
          <w:trHeight w:val="871"/>
        </w:trPr>
        <w:tc>
          <w:tcPr>
            <w:tcW w:w="1946" w:type="dxa"/>
          </w:tcPr>
          <w:p w:rsidR="00DC1A56" w:rsidRPr="00EB4F4F" w:rsidRDefault="00DC1A56" w:rsidP="00DC1A56">
            <w:pPr>
              <w:autoSpaceDE w:val="0"/>
              <w:autoSpaceDN w:val="0"/>
              <w:adjustRightInd w:val="0"/>
              <w:spacing w:after="0" w:line="240" w:lineRule="auto"/>
              <w:rPr>
                <w:rFonts w:ascii="Arial" w:hAnsi="Arial" w:cs="Arial"/>
                <w:b/>
                <w:bCs/>
                <w:color w:val="000000"/>
                <w:sz w:val="18"/>
                <w:szCs w:val="21"/>
              </w:rPr>
            </w:pPr>
            <w:r w:rsidRPr="00EB4F4F">
              <w:rPr>
                <w:rFonts w:ascii="Arial" w:hAnsi="Arial" w:cs="Arial"/>
                <w:b/>
                <w:bCs/>
                <w:color w:val="000000"/>
                <w:sz w:val="18"/>
                <w:szCs w:val="21"/>
              </w:rPr>
              <w:t xml:space="preserve">Natura del conferimento dei dati personali trattati </w:t>
            </w:r>
          </w:p>
        </w:tc>
        <w:tc>
          <w:tcPr>
            <w:tcW w:w="8234" w:type="dxa"/>
          </w:tcPr>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La maggior parte dei dati richiesti nella modulistica predisposta per la presentazione di istanze di parte devono essere dichiarati obbligatoriamente e sono sottoposti anche a verifiche ed accertamenti mediante accessi a dati di altre pubbliche amministrazioni. Tra le informazioni personali trattate rientrano dati di natura "sensibile" e "giudiziaria" ai sensi del D.Lgs. 196 del 2003. </w:t>
            </w:r>
          </w:p>
        </w:tc>
      </w:tr>
      <w:tr w:rsidR="00DC1A56" w:rsidRPr="00EB4F4F" w:rsidTr="006F3E4D">
        <w:trPr>
          <w:trHeight w:val="871"/>
        </w:trPr>
        <w:tc>
          <w:tcPr>
            <w:tcW w:w="1946" w:type="dxa"/>
          </w:tcPr>
          <w:p w:rsidR="00DC1A56" w:rsidRPr="00EB4F4F" w:rsidRDefault="00DC1A56" w:rsidP="00DC1A56">
            <w:pPr>
              <w:autoSpaceDE w:val="0"/>
              <w:autoSpaceDN w:val="0"/>
              <w:adjustRightInd w:val="0"/>
              <w:spacing w:after="0" w:line="240" w:lineRule="auto"/>
              <w:rPr>
                <w:rFonts w:ascii="Arial" w:hAnsi="Arial" w:cs="Arial"/>
                <w:b/>
                <w:bCs/>
                <w:color w:val="000000"/>
                <w:sz w:val="18"/>
                <w:szCs w:val="21"/>
              </w:rPr>
            </w:pPr>
            <w:r w:rsidRPr="00EB4F4F">
              <w:rPr>
                <w:rFonts w:ascii="Arial" w:hAnsi="Arial" w:cs="Arial"/>
                <w:b/>
                <w:bCs/>
                <w:color w:val="000000"/>
                <w:sz w:val="18"/>
                <w:szCs w:val="21"/>
              </w:rPr>
              <w:t xml:space="preserve">Titolarità del trattamento </w:t>
            </w:r>
          </w:p>
        </w:tc>
        <w:tc>
          <w:tcPr>
            <w:tcW w:w="8234" w:type="dxa"/>
          </w:tcPr>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Titolare del trattamento è l'Agenzia per le erogazioni in agricoltura (AGEA).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La sede di AGEA è in Via Palestro, 81 00185 ROMA.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Il sito web istituzionale dell'Agenzia ha come indirizzo il seguente: http://www.agea.gov.it </w:t>
            </w:r>
          </w:p>
        </w:tc>
      </w:tr>
      <w:tr w:rsidR="00DC1A56" w:rsidRPr="00EB4F4F" w:rsidTr="006F3E4D">
        <w:trPr>
          <w:trHeight w:val="871"/>
        </w:trPr>
        <w:tc>
          <w:tcPr>
            <w:tcW w:w="1946" w:type="dxa"/>
          </w:tcPr>
          <w:p w:rsidR="00DC1A56" w:rsidRPr="00EB4F4F" w:rsidRDefault="00DC1A56" w:rsidP="00DC1A56">
            <w:pPr>
              <w:autoSpaceDE w:val="0"/>
              <w:autoSpaceDN w:val="0"/>
              <w:adjustRightInd w:val="0"/>
              <w:spacing w:after="0" w:line="240" w:lineRule="auto"/>
              <w:rPr>
                <w:rFonts w:ascii="Arial" w:hAnsi="Arial" w:cs="Arial"/>
                <w:b/>
                <w:bCs/>
                <w:color w:val="000000"/>
                <w:sz w:val="18"/>
                <w:szCs w:val="21"/>
              </w:rPr>
            </w:pPr>
            <w:r w:rsidRPr="00EB4F4F">
              <w:rPr>
                <w:rFonts w:ascii="Arial" w:hAnsi="Arial" w:cs="Arial"/>
                <w:b/>
                <w:bCs/>
                <w:color w:val="000000"/>
                <w:sz w:val="18"/>
                <w:szCs w:val="21"/>
              </w:rPr>
              <w:lastRenderedPageBreak/>
              <w:t xml:space="preserve">Responsabili del trattamento </w:t>
            </w:r>
          </w:p>
        </w:tc>
        <w:tc>
          <w:tcPr>
            <w:tcW w:w="8234" w:type="dxa"/>
          </w:tcPr>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I "titolari del trattamento" possono avvalersi di soggetti nominati "responsabili".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Presso la sede dell'AGEA è disponibile l'elenco aggiornato dei Responsabili del Trattamento, fra i quali sono presenti, a titolo esemplificativo e non esaustivo, i Dirigenti responsabili degli Uffici di AGEA, la Soc. AGECONTROL S.p.A. , la Soc. SIN S.r.l., le Regioni, i Centri di Assistenza Agricola riconosciuti, il Ministero del Lavoro e delle Politiche Sociali - Autorità di Gestione del FEAD Programma Operativo I. </w:t>
            </w:r>
          </w:p>
        </w:tc>
      </w:tr>
      <w:tr w:rsidR="00DC1A56" w:rsidRPr="00EB4F4F" w:rsidTr="006F3E4D">
        <w:trPr>
          <w:trHeight w:val="871"/>
        </w:trPr>
        <w:tc>
          <w:tcPr>
            <w:tcW w:w="1946" w:type="dxa"/>
          </w:tcPr>
          <w:p w:rsidR="00DC1A56" w:rsidRPr="00EB4F4F" w:rsidRDefault="00DC1A56" w:rsidP="00DC1A56">
            <w:pPr>
              <w:autoSpaceDE w:val="0"/>
              <w:autoSpaceDN w:val="0"/>
              <w:adjustRightInd w:val="0"/>
              <w:spacing w:after="0" w:line="240" w:lineRule="auto"/>
              <w:rPr>
                <w:rFonts w:ascii="Arial" w:hAnsi="Arial" w:cs="Arial"/>
                <w:b/>
                <w:bCs/>
                <w:color w:val="000000"/>
                <w:sz w:val="18"/>
                <w:szCs w:val="21"/>
              </w:rPr>
            </w:pPr>
            <w:r w:rsidRPr="00EB4F4F">
              <w:rPr>
                <w:rFonts w:ascii="Arial" w:hAnsi="Arial" w:cs="Arial"/>
                <w:b/>
                <w:bCs/>
                <w:color w:val="000000"/>
                <w:sz w:val="18"/>
                <w:szCs w:val="21"/>
              </w:rPr>
              <w:t xml:space="preserve">Diritti </w:t>
            </w:r>
          </w:p>
          <w:p w:rsidR="00DC1A56" w:rsidRPr="00EB4F4F" w:rsidRDefault="00DC1A56" w:rsidP="00DC1A56">
            <w:pPr>
              <w:autoSpaceDE w:val="0"/>
              <w:autoSpaceDN w:val="0"/>
              <w:adjustRightInd w:val="0"/>
              <w:spacing w:after="0" w:line="240" w:lineRule="auto"/>
              <w:rPr>
                <w:rFonts w:ascii="Arial" w:hAnsi="Arial" w:cs="Arial"/>
                <w:b/>
                <w:bCs/>
                <w:color w:val="000000"/>
                <w:sz w:val="18"/>
                <w:szCs w:val="21"/>
              </w:rPr>
            </w:pPr>
            <w:r w:rsidRPr="00EB4F4F">
              <w:rPr>
                <w:rFonts w:ascii="Arial" w:hAnsi="Arial" w:cs="Arial"/>
                <w:b/>
                <w:bCs/>
                <w:color w:val="000000"/>
                <w:sz w:val="18"/>
                <w:szCs w:val="21"/>
              </w:rPr>
              <w:t xml:space="preserve">dell'interessato </w:t>
            </w:r>
          </w:p>
        </w:tc>
        <w:tc>
          <w:tcPr>
            <w:tcW w:w="8234" w:type="dxa"/>
          </w:tcPr>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L'articolo 7 del Codice riconosce all'Interessato numerosi diritti, quali: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1) ottenere la conferma dell'esistenza o meno di dati personali che lo riguardano, anche se non ancora registrati e la loro comunicazione in forma intellegibile;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2) ottenere l'indicazione: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a) dell'origine dei dati personali,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b) delle finalità e modalità del trattamento,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c) della logica applicata in caso di trattamento effettuato con l'ausilio di strumenti elettronici,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d) degli estremi identificativi del Titolare, dei Responsabili e del rappresentante designato,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e) dei soggetti o delle categorie di soggetti ai quali i dati personali possono essere comunicati o che possono venirne a conoscenza in qualità di rappresentante designato nel territorio dello Stato, di Responsabili o Incaricati;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3) ottenerne: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a) l'aggiornamento, la rettifica ovvero, quando vi ha interesse, l'integrazione dei propri dati personali,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color w:val="000000"/>
                <w:sz w:val="18"/>
                <w:szCs w:val="21"/>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DC1A56" w:rsidRPr="00EB4F4F" w:rsidRDefault="00DC1A56" w:rsidP="00487514">
            <w:pPr>
              <w:pStyle w:val="Default"/>
              <w:jc w:val="both"/>
              <w:rPr>
                <w:rFonts w:ascii="Arial" w:hAnsi="Arial" w:cs="Arial"/>
                <w:sz w:val="18"/>
                <w:szCs w:val="21"/>
              </w:rPr>
            </w:pPr>
            <w:r w:rsidRPr="00EB4F4F">
              <w:rPr>
                <w:rFonts w:ascii="Arial" w:hAnsi="Arial" w:cs="Arial"/>
                <w:sz w:val="18"/>
                <w:szCs w:val="21"/>
              </w:rPr>
              <w:t xml:space="preserve">c) l'attestazione che le operazioni di cui alle lettere a) e b) sono state portate a conoscenza, anche per quanto riguarda il loro contenuto, di coloro ai quali dati sono stati comunicati o diffusi, eccettuato il caso in cui tale adempimento si rivela impossibile o comporta un impiego di mezzi manifestamente sproporzionato rispetto al diritto tutelato; </w:t>
            </w:r>
          </w:p>
          <w:p w:rsidR="00DC1A56" w:rsidRPr="00EB4F4F" w:rsidRDefault="00DC1A56" w:rsidP="00487514">
            <w:pPr>
              <w:pStyle w:val="Default"/>
              <w:jc w:val="both"/>
              <w:rPr>
                <w:rFonts w:ascii="Arial" w:hAnsi="Arial" w:cs="Arial"/>
                <w:sz w:val="18"/>
                <w:szCs w:val="21"/>
              </w:rPr>
            </w:pPr>
            <w:r w:rsidRPr="00EB4F4F">
              <w:rPr>
                <w:rFonts w:ascii="Arial" w:hAnsi="Arial" w:cs="Arial"/>
                <w:sz w:val="18"/>
                <w:szCs w:val="21"/>
              </w:rPr>
              <w:t xml:space="preserve">4) opporsi: </w:t>
            </w:r>
          </w:p>
          <w:p w:rsidR="00DC1A56" w:rsidRPr="00EB4F4F" w:rsidRDefault="00DC1A56" w:rsidP="00487514">
            <w:pPr>
              <w:pStyle w:val="Default"/>
              <w:jc w:val="both"/>
              <w:rPr>
                <w:rFonts w:ascii="Arial" w:hAnsi="Arial" w:cs="Arial"/>
                <w:sz w:val="18"/>
                <w:szCs w:val="21"/>
              </w:rPr>
            </w:pPr>
            <w:r w:rsidRPr="00EB4F4F">
              <w:rPr>
                <w:rFonts w:ascii="Arial" w:hAnsi="Arial" w:cs="Arial"/>
                <w:sz w:val="18"/>
                <w:szCs w:val="21"/>
              </w:rPr>
              <w:t xml:space="preserve">a) per motivi legittimi al trattamento dei dati personali che lo riguardano, ancorché pertinenti allo scopo della raccolta; </w:t>
            </w:r>
          </w:p>
          <w:p w:rsidR="00DC1A56" w:rsidRPr="00EB4F4F" w:rsidRDefault="00DC1A56" w:rsidP="00487514">
            <w:pPr>
              <w:pStyle w:val="Default"/>
              <w:jc w:val="both"/>
              <w:rPr>
                <w:rFonts w:ascii="Arial" w:hAnsi="Arial" w:cs="Arial"/>
                <w:sz w:val="18"/>
                <w:szCs w:val="21"/>
              </w:rPr>
            </w:pPr>
            <w:r w:rsidRPr="00EB4F4F">
              <w:rPr>
                <w:rFonts w:ascii="Arial" w:hAnsi="Arial" w:cs="Arial"/>
                <w:sz w:val="18"/>
                <w:szCs w:val="21"/>
              </w:rPr>
              <w:t xml:space="preserve">b) al trattamento di dati personali che lo riguardano a fini di invio di materiale pubblicitario o di vendita diretta o per il compimento di ricerche di mercato o di comunicazione commerciale. </w:t>
            </w:r>
          </w:p>
          <w:p w:rsidR="00DC1A56" w:rsidRPr="00EB4F4F" w:rsidRDefault="00DC1A56" w:rsidP="00487514">
            <w:pPr>
              <w:pStyle w:val="Default"/>
              <w:jc w:val="both"/>
              <w:rPr>
                <w:rFonts w:ascii="Arial" w:hAnsi="Arial" w:cs="Arial"/>
                <w:sz w:val="18"/>
                <w:szCs w:val="21"/>
              </w:rPr>
            </w:pPr>
            <w:r w:rsidRPr="00EB4F4F">
              <w:rPr>
                <w:rFonts w:ascii="Arial" w:hAnsi="Arial" w:cs="Arial"/>
                <w:sz w:val="18"/>
                <w:szCs w:val="21"/>
              </w:rPr>
              <w:t xml:space="preserve">L’interessato potrà esercitare i diritti previsti dall’art. 7 del Codice, tra cui la cancellazione, la rettifica e l’integrazione, rivolgendosi al Titolare del trattamento mediante la casella di posta certificata protocollo@pec.agea.gov.it con idonea comunicazione citando: Rif. Privacy. </w:t>
            </w:r>
          </w:p>
          <w:p w:rsidR="00DC1A56" w:rsidRPr="00EB4F4F" w:rsidRDefault="00DC1A56" w:rsidP="00487514">
            <w:pPr>
              <w:autoSpaceDE w:val="0"/>
              <w:autoSpaceDN w:val="0"/>
              <w:adjustRightInd w:val="0"/>
              <w:spacing w:after="0" w:line="240" w:lineRule="auto"/>
              <w:jc w:val="both"/>
              <w:rPr>
                <w:rFonts w:ascii="Arial" w:hAnsi="Arial" w:cs="Arial"/>
                <w:color w:val="000000"/>
                <w:sz w:val="18"/>
                <w:szCs w:val="21"/>
              </w:rPr>
            </w:pPr>
            <w:r w:rsidRPr="00EB4F4F">
              <w:rPr>
                <w:rFonts w:ascii="Arial" w:hAnsi="Arial" w:cs="Arial"/>
                <w:sz w:val="18"/>
                <w:szCs w:val="21"/>
              </w:rPr>
              <w:t>Titolare del trattamento dei dati è l’Agea, con sede in Via Palestro n. 81, 00185 Roma; l’elenco dei responsabili è disponibile presso la sede dell’Agenzia. Per l’esercizio dei diritti degli interessati, attesa la procedura indicata al precedente punto e) l’indirizzo di posta elettronica è il seguente privacy@agea.gov.it</w:t>
            </w:r>
            <w:r w:rsidRPr="00EB4F4F">
              <w:rPr>
                <w:sz w:val="18"/>
                <w:szCs w:val="21"/>
              </w:rPr>
              <w:t xml:space="preserve"> </w:t>
            </w:r>
          </w:p>
        </w:tc>
      </w:tr>
    </w:tbl>
    <w:p w:rsidR="00DC1A56" w:rsidRPr="00EB4F4F" w:rsidRDefault="00DC1A56" w:rsidP="00FB16B9">
      <w:pPr>
        <w:autoSpaceDE w:val="0"/>
        <w:autoSpaceDN w:val="0"/>
        <w:adjustRightInd w:val="0"/>
        <w:spacing w:after="0" w:line="240" w:lineRule="auto"/>
        <w:jc w:val="both"/>
        <w:rPr>
          <w:rFonts w:ascii="Times New Roman" w:hAnsi="Times New Roman" w:cs="Times New Roman"/>
          <w:color w:val="000000"/>
          <w:sz w:val="21"/>
          <w:szCs w:val="21"/>
        </w:rPr>
      </w:pPr>
      <w:r w:rsidRPr="00EB4F4F">
        <w:rPr>
          <w:rFonts w:ascii="Times New Roman" w:hAnsi="Times New Roman" w:cs="Times New Roman"/>
          <w:color w:val="000000"/>
          <w:sz w:val="21"/>
          <w:szCs w:val="21"/>
        </w:rPr>
        <w:t xml:space="preserve">Per quanto non espressamente indicato nelle presenti </w:t>
      </w:r>
      <w:r w:rsidRPr="00EB4F4F">
        <w:rPr>
          <w:rFonts w:ascii="Times New Roman" w:hAnsi="Times New Roman" w:cs="Times New Roman"/>
          <w:i/>
          <w:iCs/>
          <w:color w:val="000000"/>
          <w:sz w:val="21"/>
          <w:szCs w:val="21"/>
        </w:rPr>
        <w:t xml:space="preserve">Istruzioni operative </w:t>
      </w:r>
      <w:r w:rsidRPr="00EB4F4F">
        <w:rPr>
          <w:rFonts w:ascii="Times New Roman" w:hAnsi="Times New Roman" w:cs="Times New Roman"/>
          <w:color w:val="000000"/>
          <w:sz w:val="21"/>
          <w:szCs w:val="21"/>
        </w:rPr>
        <w:t xml:space="preserve">si dovrà far riferimento alla vigente normativa comunitaria e nazionale di pertinenza. </w:t>
      </w:r>
    </w:p>
    <w:p w:rsidR="00DC1A56" w:rsidRPr="00EB4F4F" w:rsidRDefault="00DC1A56" w:rsidP="00FB16B9">
      <w:pPr>
        <w:autoSpaceDE w:val="0"/>
        <w:autoSpaceDN w:val="0"/>
        <w:adjustRightInd w:val="0"/>
        <w:spacing w:after="0" w:line="240" w:lineRule="auto"/>
        <w:jc w:val="both"/>
        <w:rPr>
          <w:rFonts w:ascii="Times New Roman" w:hAnsi="Times New Roman" w:cs="Times New Roman"/>
          <w:b/>
          <w:color w:val="000000"/>
          <w:sz w:val="21"/>
          <w:szCs w:val="21"/>
        </w:rPr>
      </w:pPr>
      <w:r w:rsidRPr="00EB4F4F">
        <w:rPr>
          <w:rFonts w:ascii="Times New Roman" w:hAnsi="Times New Roman" w:cs="Times New Roman"/>
          <w:b/>
          <w:color w:val="000000"/>
          <w:sz w:val="21"/>
          <w:szCs w:val="21"/>
        </w:rPr>
        <w:t xml:space="preserve">Le presenti </w:t>
      </w:r>
      <w:r w:rsidRPr="00EB4F4F">
        <w:rPr>
          <w:rFonts w:ascii="Times New Roman" w:hAnsi="Times New Roman" w:cs="Times New Roman"/>
          <w:b/>
          <w:i/>
          <w:iCs/>
          <w:color w:val="000000"/>
          <w:sz w:val="21"/>
          <w:szCs w:val="21"/>
        </w:rPr>
        <w:t xml:space="preserve">Istruzioni operative </w:t>
      </w:r>
      <w:r w:rsidRPr="00EB4F4F">
        <w:rPr>
          <w:rFonts w:ascii="Times New Roman" w:hAnsi="Times New Roman" w:cs="Times New Roman"/>
          <w:b/>
          <w:color w:val="000000"/>
          <w:sz w:val="21"/>
          <w:szCs w:val="21"/>
        </w:rPr>
        <w:t xml:space="preserve">sono pubblicate anche sul sito internet: (http://www.agea.gov.it); </w:t>
      </w:r>
    </w:p>
    <w:p w:rsidR="00F85BB0" w:rsidRPr="00EB4F4F" w:rsidRDefault="00F85BB0" w:rsidP="00DC1A56">
      <w:pPr>
        <w:autoSpaceDE w:val="0"/>
        <w:autoSpaceDN w:val="0"/>
        <w:adjustRightInd w:val="0"/>
        <w:spacing w:after="0" w:line="240" w:lineRule="auto"/>
        <w:rPr>
          <w:rFonts w:ascii="Times New Roman" w:hAnsi="Times New Roman" w:cs="Times New Roman"/>
          <w:b/>
          <w:bCs/>
          <w:color w:val="000000"/>
          <w:sz w:val="21"/>
          <w:szCs w:val="21"/>
        </w:rPr>
      </w:pPr>
    </w:p>
    <w:p w:rsidR="00DC1A56" w:rsidRPr="00EB4F4F" w:rsidRDefault="00DC1A56" w:rsidP="00DC1A56">
      <w:pPr>
        <w:autoSpaceDE w:val="0"/>
        <w:autoSpaceDN w:val="0"/>
        <w:adjustRightInd w:val="0"/>
        <w:spacing w:after="0" w:line="240" w:lineRule="auto"/>
        <w:rPr>
          <w:rFonts w:ascii="Times New Roman" w:hAnsi="Times New Roman" w:cs="Times New Roman"/>
          <w:color w:val="000000"/>
          <w:sz w:val="21"/>
          <w:szCs w:val="21"/>
        </w:rPr>
      </w:pPr>
      <w:r w:rsidRPr="00EB4F4F">
        <w:rPr>
          <w:rFonts w:ascii="Times New Roman" w:hAnsi="Times New Roman" w:cs="Times New Roman"/>
          <w:b/>
          <w:bCs/>
          <w:color w:val="000000"/>
          <w:sz w:val="21"/>
          <w:szCs w:val="21"/>
        </w:rPr>
        <w:t xml:space="preserve">11. STRUTTURA COMPETENTE </w:t>
      </w:r>
    </w:p>
    <w:p w:rsidR="00487514" w:rsidRPr="00EB4F4F" w:rsidRDefault="00487514" w:rsidP="00487514">
      <w:pPr>
        <w:pStyle w:val="Default"/>
        <w:jc w:val="both"/>
        <w:rPr>
          <w:rFonts w:ascii="Times New Roman" w:hAnsi="Times New Roman" w:cs="Times New Roman"/>
          <w:sz w:val="21"/>
          <w:szCs w:val="21"/>
        </w:rPr>
      </w:pPr>
      <w:r w:rsidRPr="00EB4F4F">
        <w:rPr>
          <w:rFonts w:ascii="Times New Roman" w:hAnsi="Times New Roman" w:cs="Times New Roman"/>
          <w:sz w:val="21"/>
          <w:szCs w:val="21"/>
        </w:rPr>
        <w:t>…OMISSIS…</w:t>
      </w:r>
    </w:p>
    <w:p w:rsidR="00F85BB0" w:rsidRPr="00EB4F4F" w:rsidRDefault="00DC1A56" w:rsidP="00F85BB0">
      <w:pPr>
        <w:spacing w:after="0" w:line="240" w:lineRule="auto"/>
        <w:ind w:left="5812"/>
        <w:jc w:val="center"/>
        <w:rPr>
          <w:rFonts w:ascii="Times New Roman" w:hAnsi="Times New Roman" w:cs="Times New Roman"/>
          <w:color w:val="000000"/>
          <w:sz w:val="21"/>
          <w:szCs w:val="21"/>
        </w:rPr>
      </w:pPr>
      <w:r w:rsidRPr="00EB4F4F">
        <w:rPr>
          <w:rFonts w:ascii="Times New Roman" w:hAnsi="Times New Roman" w:cs="Times New Roman"/>
          <w:color w:val="000000"/>
          <w:sz w:val="21"/>
          <w:szCs w:val="21"/>
        </w:rPr>
        <w:t>Il Direttore dell’Ufficio Monocratico dell’O.P.</w:t>
      </w:r>
    </w:p>
    <w:p w:rsidR="00DC1A56" w:rsidRPr="00EB4F4F" w:rsidRDefault="00DC1A56" w:rsidP="00F85BB0">
      <w:pPr>
        <w:spacing w:after="0" w:line="240" w:lineRule="auto"/>
        <w:ind w:left="5812"/>
        <w:jc w:val="center"/>
        <w:rPr>
          <w:sz w:val="21"/>
          <w:szCs w:val="21"/>
        </w:rPr>
      </w:pPr>
      <w:r w:rsidRPr="00EB4F4F">
        <w:rPr>
          <w:rFonts w:ascii="Times New Roman" w:hAnsi="Times New Roman" w:cs="Times New Roman"/>
          <w:color w:val="000000"/>
          <w:sz w:val="21"/>
          <w:szCs w:val="21"/>
        </w:rPr>
        <w:t>Maurizio Salvi</w:t>
      </w:r>
    </w:p>
    <w:sectPr w:rsidR="00DC1A56" w:rsidRPr="00EB4F4F" w:rsidSect="008F743C">
      <w:footerReference w:type="default" r:id="rId9"/>
      <w:pgSz w:w="11906" w:h="16838"/>
      <w:pgMar w:top="1560" w:right="1133"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3C" w:rsidRDefault="008F743C" w:rsidP="008F743C">
      <w:pPr>
        <w:spacing w:after="0" w:line="240" w:lineRule="auto"/>
      </w:pPr>
      <w:r>
        <w:separator/>
      </w:r>
    </w:p>
  </w:endnote>
  <w:endnote w:type="continuationSeparator" w:id="0">
    <w:p w:rsidR="008F743C" w:rsidRDefault="008F743C" w:rsidP="008F7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849"/>
      <w:docPartObj>
        <w:docPartGallery w:val="Page Numbers (Bottom of Page)"/>
        <w:docPartUnique/>
      </w:docPartObj>
    </w:sdtPr>
    <w:sdtContent>
      <w:p w:rsidR="008F743C" w:rsidRDefault="009527D5">
        <w:pPr>
          <w:pStyle w:val="Pidipagina"/>
          <w:jc w:val="right"/>
        </w:pPr>
        <w:fldSimple w:instr=" PAGE   \* MERGEFORMAT ">
          <w:r w:rsidR="002C4C1E">
            <w:rPr>
              <w:noProof/>
            </w:rPr>
            <w:t>1</w:t>
          </w:r>
        </w:fldSimple>
        <w:r w:rsidR="008F743C">
          <w:t>/7</w:t>
        </w:r>
      </w:p>
    </w:sdtContent>
  </w:sdt>
  <w:p w:rsidR="008F743C" w:rsidRDefault="008F743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3C" w:rsidRDefault="008F743C" w:rsidP="008F743C">
      <w:pPr>
        <w:spacing w:after="0" w:line="240" w:lineRule="auto"/>
      </w:pPr>
      <w:r>
        <w:separator/>
      </w:r>
    </w:p>
  </w:footnote>
  <w:footnote w:type="continuationSeparator" w:id="0">
    <w:p w:rsidR="008F743C" w:rsidRDefault="008F743C" w:rsidP="008F74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C4341"/>
    <w:rsid w:val="000159C6"/>
    <w:rsid w:val="0005539C"/>
    <w:rsid w:val="0005764B"/>
    <w:rsid w:val="000F2A92"/>
    <w:rsid w:val="00105E39"/>
    <w:rsid w:val="001255CA"/>
    <w:rsid w:val="00215370"/>
    <w:rsid w:val="002C4C1E"/>
    <w:rsid w:val="00487514"/>
    <w:rsid w:val="00572003"/>
    <w:rsid w:val="005C4341"/>
    <w:rsid w:val="006B6B8D"/>
    <w:rsid w:val="006F3E4D"/>
    <w:rsid w:val="008F743C"/>
    <w:rsid w:val="00903F38"/>
    <w:rsid w:val="009428A3"/>
    <w:rsid w:val="00944EA9"/>
    <w:rsid w:val="009527D5"/>
    <w:rsid w:val="00965AA5"/>
    <w:rsid w:val="00A710F0"/>
    <w:rsid w:val="00AA172E"/>
    <w:rsid w:val="00B27FE3"/>
    <w:rsid w:val="00B72F15"/>
    <w:rsid w:val="00C048A5"/>
    <w:rsid w:val="00C07094"/>
    <w:rsid w:val="00D924F6"/>
    <w:rsid w:val="00DC1A56"/>
    <w:rsid w:val="00DD0257"/>
    <w:rsid w:val="00EB4D82"/>
    <w:rsid w:val="00EB4F4F"/>
    <w:rsid w:val="00F85BB0"/>
    <w:rsid w:val="00FB16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7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341"/>
    <w:pPr>
      <w:autoSpaceDE w:val="0"/>
      <w:autoSpaceDN w:val="0"/>
      <w:adjustRightInd w:val="0"/>
      <w:spacing w:after="0" w:line="240" w:lineRule="auto"/>
    </w:pPr>
    <w:rPr>
      <w:rFonts w:ascii="Century Gothic" w:hAnsi="Century Gothic" w:cs="Century Gothic"/>
      <w:color w:val="000000"/>
      <w:sz w:val="24"/>
      <w:szCs w:val="24"/>
    </w:rPr>
  </w:style>
  <w:style w:type="character" w:styleId="Collegamentoipertestuale">
    <w:name w:val="Hyperlink"/>
    <w:basedOn w:val="Carpredefinitoparagrafo"/>
    <w:uiPriority w:val="99"/>
    <w:unhideWhenUsed/>
    <w:rsid w:val="00C07094"/>
    <w:rPr>
      <w:color w:val="0563C1" w:themeColor="hyperlink"/>
      <w:u w:val="single"/>
    </w:rPr>
  </w:style>
  <w:style w:type="paragraph" w:styleId="Intestazione">
    <w:name w:val="header"/>
    <w:basedOn w:val="Normale"/>
    <w:link w:val="IntestazioneCarattere"/>
    <w:uiPriority w:val="99"/>
    <w:semiHidden/>
    <w:unhideWhenUsed/>
    <w:rsid w:val="008F74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F743C"/>
  </w:style>
  <w:style w:type="paragraph" w:styleId="Pidipagina">
    <w:name w:val="footer"/>
    <w:basedOn w:val="Normale"/>
    <w:link w:val="PidipaginaCarattere"/>
    <w:uiPriority w:val="99"/>
    <w:unhideWhenUsed/>
    <w:rsid w:val="008F74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74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monocratico@agea.gov.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DC48-414D-4AFE-A0E4-E095192F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3980</Words>
  <Characters>22686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 Banco Alimentare ER</dc:creator>
  <cp:lastModifiedBy>direzione01</cp:lastModifiedBy>
  <cp:revision>4</cp:revision>
  <dcterms:created xsi:type="dcterms:W3CDTF">2017-09-19T14:18:00Z</dcterms:created>
  <dcterms:modified xsi:type="dcterms:W3CDTF">2017-09-20T16:08:00Z</dcterms:modified>
</cp:coreProperties>
</file>